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color w:val="auto"/>
          <w:kern w:val="0"/>
          <w:sz w:val="32"/>
          <w:szCs w:val="32"/>
          <w:lang w:val="en-US" w:eastAsia="zh-CN"/>
        </w:rPr>
      </w:pPr>
      <w:bookmarkStart w:id="2" w:name="_GoBack"/>
      <w:r>
        <w:rPr>
          <w:rFonts w:hint="eastAsia" w:ascii="黑体" w:hAnsi="黑体" w:eastAsia="黑体" w:cs="黑体"/>
          <w:b w:val="0"/>
          <w:bCs/>
          <w:color w:val="auto"/>
          <w:kern w:val="0"/>
          <w:sz w:val="32"/>
          <w:szCs w:val="32"/>
          <w:lang w:eastAsia="zh-CN"/>
        </w:rPr>
        <w:t>附件</w:t>
      </w:r>
      <w:r>
        <w:rPr>
          <w:rFonts w:hint="eastAsia" w:ascii="黑体" w:hAnsi="黑体" w:eastAsia="黑体" w:cs="黑体"/>
          <w:b w:val="0"/>
          <w:bCs/>
          <w:color w:val="auto"/>
          <w:kern w:val="0"/>
          <w:sz w:val="32"/>
          <w:szCs w:val="32"/>
          <w:lang w:val="en-US" w:eastAsia="zh-CN"/>
        </w:rPr>
        <w:t>4：</w:t>
      </w:r>
    </w:p>
    <w:p>
      <w:pPr>
        <w:spacing w:line="540" w:lineRule="exact"/>
        <w:rPr>
          <w:rFonts w:eastAsia="华文中宋"/>
          <w:b/>
          <w:color w:val="auto"/>
          <w:kern w:val="0"/>
          <w:sz w:val="72"/>
          <w:szCs w:val="72"/>
        </w:rPr>
      </w:pPr>
    </w:p>
    <w:p>
      <w:pPr>
        <w:spacing w:line="540" w:lineRule="exact"/>
        <w:jc w:val="center"/>
        <w:rPr>
          <w:rFonts w:eastAsia="华文中宋"/>
          <w:b/>
          <w:color w:val="auto"/>
          <w:kern w:val="0"/>
          <w:sz w:val="52"/>
          <w:szCs w:val="52"/>
        </w:rPr>
      </w:pPr>
    </w:p>
    <w:p>
      <w:pPr>
        <w:spacing w:line="540" w:lineRule="exact"/>
        <w:jc w:val="center"/>
        <w:rPr>
          <w:rFonts w:eastAsia="华文中宋"/>
          <w:b/>
          <w:color w:val="auto"/>
          <w:kern w:val="0"/>
          <w:sz w:val="52"/>
          <w:szCs w:val="52"/>
        </w:rPr>
      </w:pPr>
    </w:p>
    <w:p>
      <w:pPr>
        <w:spacing w:line="540" w:lineRule="exact"/>
        <w:jc w:val="center"/>
        <w:rPr>
          <w:rFonts w:eastAsia="方正小标宋_GBK"/>
          <w:color w:val="auto"/>
          <w:kern w:val="0"/>
          <w:sz w:val="48"/>
          <w:szCs w:val="48"/>
        </w:rPr>
      </w:pPr>
      <w:r>
        <w:rPr>
          <w:rFonts w:hint="eastAsia" w:eastAsia="方正小标宋_GBK"/>
          <w:color w:val="auto"/>
          <w:kern w:val="0"/>
          <w:sz w:val="48"/>
          <w:szCs w:val="48"/>
          <w:lang w:eastAsia="zh-CN"/>
        </w:rPr>
        <w:t>自有</w:t>
      </w:r>
      <w:r>
        <w:rPr>
          <w:rFonts w:eastAsia="方正小标宋_GBK"/>
          <w:color w:val="auto"/>
          <w:kern w:val="0"/>
          <w:sz w:val="48"/>
          <w:szCs w:val="48"/>
        </w:rPr>
        <w:t>资金项目支出绩效评价</w:t>
      </w:r>
    </w:p>
    <w:p>
      <w:pPr>
        <w:spacing w:line="540" w:lineRule="exact"/>
        <w:jc w:val="center"/>
        <w:rPr>
          <w:rFonts w:eastAsia="方正小标宋_GBK"/>
          <w:color w:val="auto"/>
          <w:kern w:val="0"/>
          <w:sz w:val="48"/>
          <w:szCs w:val="48"/>
        </w:rPr>
      </w:pPr>
      <w:r>
        <w:rPr>
          <w:rFonts w:eastAsia="方正小标宋_GBK"/>
          <w:color w:val="auto"/>
          <w:kern w:val="0"/>
          <w:sz w:val="48"/>
          <w:szCs w:val="48"/>
        </w:rPr>
        <w:t>报告</w:t>
      </w:r>
    </w:p>
    <w:p>
      <w:pPr>
        <w:spacing w:line="540" w:lineRule="exact"/>
        <w:jc w:val="center"/>
        <w:rPr>
          <w:rFonts w:eastAsia="华文中宋"/>
          <w:b/>
          <w:color w:val="auto"/>
          <w:kern w:val="0"/>
          <w:sz w:val="52"/>
          <w:szCs w:val="52"/>
        </w:rPr>
      </w:pPr>
    </w:p>
    <w:p>
      <w:pPr>
        <w:spacing w:line="540" w:lineRule="exact"/>
        <w:jc w:val="center"/>
        <w:rPr>
          <w:rFonts w:eastAsia="仿宋_GB2312"/>
          <w:color w:val="auto"/>
          <w:kern w:val="0"/>
          <w:sz w:val="36"/>
          <w:szCs w:val="36"/>
        </w:rPr>
      </w:pPr>
      <w:r>
        <w:rPr>
          <w:rFonts w:eastAsia="仿宋_GB2312"/>
          <w:color w:val="auto"/>
          <w:kern w:val="0"/>
          <w:sz w:val="36"/>
          <w:szCs w:val="36"/>
        </w:rPr>
        <w:t>（ 202</w:t>
      </w:r>
      <w:r>
        <w:rPr>
          <w:rFonts w:hint="eastAsia" w:eastAsia="仿宋_GB2312"/>
          <w:color w:val="auto"/>
          <w:kern w:val="0"/>
          <w:sz w:val="36"/>
          <w:szCs w:val="36"/>
          <w:lang w:val="en-US" w:eastAsia="zh-CN"/>
        </w:rPr>
        <w:t>4</w:t>
      </w:r>
      <w:r>
        <w:rPr>
          <w:rFonts w:eastAsia="仿宋_GB2312"/>
          <w:color w:val="auto"/>
          <w:kern w:val="0"/>
          <w:sz w:val="36"/>
          <w:szCs w:val="36"/>
        </w:rPr>
        <w:t>年度）</w:t>
      </w: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spacing w:line="540" w:lineRule="exact"/>
        <w:jc w:val="center"/>
        <w:rPr>
          <w:rFonts w:eastAsia="仿宋_GB2312"/>
          <w:color w:val="auto"/>
          <w:kern w:val="0"/>
          <w:sz w:val="30"/>
          <w:szCs w:val="30"/>
        </w:rPr>
      </w:pPr>
    </w:p>
    <w:p>
      <w:pPr>
        <w:spacing w:line="540" w:lineRule="exact"/>
        <w:rPr>
          <w:rFonts w:eastAsia="仿宋_GB2312"/>
          <w:color w:val="auto"/>
          <w:kern w:val="0"/>
          <w:sz w:val="30"/>
          <w:szCs w:val="30"/>
        </w:rPr>
      </w:pPr>
    </w:p>
    <w:p>
      <w:pPr>
        <w:spacing w:line="700" w:lineRule="exact"/>
        <w:ind w:firstLine="1440" w:firstLineChars="400"/>
        <w:jc w:val="left"/>
        <w:rPr>
          <w:rFonts w:hint="eastAsia" w:eastAsia="仿宋_GB2312"/>
          <w:color w:val="auto"/>
          <w:kern w:val="0"/>
          <w:sz w:val="36"/>
          <w:szCs w:val="36"/>
          <w:lang w:eastAsia="zh-CN"/>
        </w:rPr>
      </w:pPr>
      <w:r>
        <w:rPr>
          <w:rFonts w:eastAsia="仿宋_GB2312"/>
          <w:color w:val="auto"/>
          <w:kern w:val="0"/>
          <w:sz w:val="36"/>
          <w:szCs w:val="36"/>
        </w:rPr>
        <w:t>项目名称：</w:t>
      </w:r>
      <w:r>
        <w:rPr>
          <w:rFonts w:hint="eastAsia" w:eastAsia="仿宋_GB2312"/>
          <w:color w:val="auto"/>
          <w:kern w:val="0"/>
          <w:sz w:val="36"/>
          <w:szCs w:val="36"/>
        </w:rPr>
        <w:t>创新环境建设青年自然科学基金</w:t>
      </w:r>
    </w:p>
    <w:p>
      <w:pPr>
        <w:spacing w:line="700" w:lineRule="exact"/>
        <w:ind w:firstLine="1440" w:firstLineChars="400"/>
        <w:jc w:val="left"/>
        <w:rPr>
          <w:rFonts w:hint="eastAsia" w:ascii="仿宋_GB2312" w:hAnsi="宋体" w:eastAsia="仿宋_GB2312" w:cs="宋体"/>
          <w:color w:val="auto"/>
          <w:kern w:val="0"/>
          <w:sz w:val="36"/>
          <w:szCs w:val="36"/>
          <w:highlight w:val="none"/>
        </w:rPr>
      </w:pPr>
      <w:r>
        <w:rPr>
          <w:rFonts w:eastAsia="仿宋_GB2312"/>
          <w:color w:val="auto"/>
          <w:kern w:val="0"/>
          <w:sz w:val="36"/>
          <w:szCs w:val="36"/>
          <w:highlight w:val="none"/>
        </w:rPr>
        <w:t>实施单位（公章）：</w:t>
      </w:r>
      <w:r>
        <w:rPr>
          <w:rFonts w:hint="eastAsia" w:ascii="仿宋_GB2312" w:hAnsi="宋体" w:eastAsia="仿宋_GB2312" w:cs="宋体"/>
          <w:color w:val="auto"/>
          <w:kern w:val="0"/>
          <w:sz w:val="36"/>
          <w:szCs w:val="36"/>
          <w:highlight w:val="none"/>
        </w:rPr>
        <w:t>自治区动物卫生监督所</w:t>
      </w:r>
    </w:p>
    <w:p>
      <w:pPr>
        <w:spacing w:line="700" w:lineRule="exact"/>
        <w:ind w:firstLine="1440" w:firstLineChars="400"/>
        <w:jc w:val="left"/>
        <w:rPr>
          <w:rFonts w:hAnsi="宋体" w:eastAsia="仿宋_GB2312" w:cs="宋体"/>
          <w:color w:val="auto"/>
          <w:kern w:val="0"/>
          <w:sz w:val="36"/>
          <w:szCs w:val="36"/>
          <w:highlight w:val="none"/>
        </w:rPr>
      </w:pPr>
      <w:r>
        <w:rPr>
          <w:rFonts w:eastAsia="仿宋_GB2312"/>
          <w:color w:val="auto"/>
          <w:kern w:val="0"/>
          <w:sz w:val="36"/>
          <w:szCs w:val="36"/>
          <w:highlight w:val="none"/>
        </w:rPr>
        <w:t>主管部门（公章）：</w:t>
      </w:r>
      <w:r>
        <w:rPr>
          <w:rFonts w:hint="eastAsia" w:ascii="仿宋_GB2312" w:hAnsi="宋体" w:eastAsia="仿宋_GB2312" w:cs="宋体"/>
          <w:color w:val="auto"/>
          <w:kern w:val="0"/>
          <w:sz w:val="36"/>
          <w:szCs w:val="36"/>
          <w:highlight w:val="none"/>
        </w:rPr>
        <w:t>自治区畜牧兽医局</w:t>
      </w:r>
      <w:r>
        <w:rPr>
          <w:rFonts w:hAnsi="宋体" w:eastAsia="仿宋_GB2312" w:cs="宋体"/>
          <w:color w:val="auto"/>
          <w:kern w:val="0"/>
          <w:sz w:val="36"/>
          <w:szCs w:val="36"/>
          <w:highlight w:val="none"/>
          <w:shd w:val="clear" w:color="auto" w:fill="FFFFFF"/>
        </w:rPr>
        <w:fldChar w:fldCharType="begin">
          <w:fldData xml:space="preserve">MgA0ADMAOQAzAEEANgA1ADAAQwA5ADIANABGADUARQBBADkAMQA0ADQAQQA4ADQAMgA3ADQAQwBD
ADEAMAAyAA==
</w:fldData>
        </w:fldChar>
      </w:r>
      <w:r>
        <w:rPr>
          <w:rFonts w:hAnsi="宋体" w:eastAsia="仿宋_GB2312" w:cs="宋体"/>
          <w:color w:val="auto"/>
          <w:kern w:val="0"/>
          <w:sz w:val="36"/>
          <w:szCs w:val="36"/>
          <w:highlight w:val="none"/>
          <w:shd w:val="clear" w:color="auto" w:fill="FFFFFF"/>
        </w:rPr>
        <w:instrText xml:space="preserve">Addin 部门名称</w:instrText>
      </w:r>
      <w:r>
        <w:rPr>
          <w:rFonts w:hAnsi="宋体" w:eastAsia="仿宋_GB2312" w:cs="宋体"/>
          <w:color w:val="auto"/>
          <w:kern w:val="0"/>
          <w:sz w:val="36"/>
          <w:szCs w:val="36"/>
          <w:highlight w:val="none"/>
          <w:shd w:val="clear" w:color="auto" w:fill="FFFFFF"/>
        </w:rPr>
        <w:fldChar w:fldCharType="separate"/>
      </w:r>
      <w:r>
        <w:rPr>
          <w:rFonts w:hAnsi="宋体" w:eastAsia="仿宋_GB2312" w:cs="宋体"/>
          <w:color w:val="auto"/>
          <w:kern w:val="0"/>
          <w:sz w:val="36"/>
          <w:szCs w:val="36"/>
          <w:highlight w:val="none"/>
          <w:shd w:val="clear" w:color="auto" w:fill="FFFFFF"/>
        </w:rPr>
        <w:fldChar w:fldCharType="end"/>
      </w:r>
    </w:p>
    <w:p>
      <w:pPr>
        <w:spacing w:line="700" w:lineRule="exact"/>
        <w:ind w:firstLine="1440" w:firstLineChars="400"/>
        <w:jc w:val="left"/>
        <w:rPr>
          <w:rFonts w:hint="eastAsia" w:eastAsia="仿宋_GB2312"/>
          <w:color w:val="auto"/>
          <w:kern w:val="0"/>
          <w:sz w:val="36"/>
          <w:szCs w:val="36"/>
          <w:highlight w:val="none"/>
        </w:rPr>
      </w:pPr>
      <w:r>
        <w:rPr>
          <w:rFonts w:eastAsia="仿宋_GB2312"/>
          <w:color w:val="auto"/>
          <w:kern w:val="0"/>
          <w:sz w:val="36"/>
          <w:szCs w:val="36"/>
          <w:highlight w:val="none"/>
        </w:rPr>
        <w:t>项目负责人（签章）：</w:t>
      </w:r>
      <w:r>
        <w:rPr>
          <w:rFonts w:hint="eastAsia" w:eastAsia="仿宋_GB2312"/>
          <w:color w:val="auto"/>
          <w:kern w:val="0"/>
          <w:sz w:val="36"/>
          <w:szCs w:val="36"/>
          <w:highlight w:val="none"/>
        </w:rPr>
        <w:t>古丽曼·木哈买提拜</w:t>
      </w:r>
    </w:p>
    <w:p>
      <w:pPr>
        <w:spacing w:line="700" w:lineRule="exact"/>
        <w:ind w:firstLine="1440" w:firstLineChars="400"/>
        <w:jc w:val="left"/>
        <w:rPr>
          <w:rFonts w:eastAsia="仿宋_GB2312"/>
          <w:color w:val="auto"/>
          <w:kern w:val="0"/>
          <w:sz w:val="36"/>
          <w:szCs w:val="36"/>
          <w:highlight w:val="none"/>
        </w:rPr>
      </w:pPr>
      <w:r>
        <w:rPr>
          <w:rFonts w:eastAsia="仿宋_GB2312"/>
          <w:color w:val="auto"/>
          <w:kern w:val="0"/>
          <w:sz w:val="36"/>
          <w:szCs w:val="36"/>
          <w:highlight w:val="none"/>
        </w:rPr>
        <w:t>填报时间：</w:t>
      </w:r>
      <w:r>
        <w:rPr>
          <w:rFonts w:hint="eastAsia" w:eastAsia="仿宋_GB2312"/>
          <w:color w:val="auto"/>
          <w:kern w:val="0"/>
          <w:sz w:val="36"/>
          <w:szCs w:val="36"/>
          <w:highlight w:val="none"/>
          <w:lang w:val="en-US" w:eastAsia="zh-CN"/>
        </w:rPr>
        <w:t>2025</w:t>
      </w:r>
      <w:r>
        <w:rPr>
          <w:rFonts w:eastAsia="仿宋_GB2312"/>
          <w:color w:val="auto"/>
          <w:kern w:val="0"/>
          <w:sz w:val="36"/>
          <w:szCs w:val="36"/>
          <w:highlight w:val="none"/>
        </w:rPr>
        <w:t>年</w:t>
      </w:r>
      <w:r>
        <w:rPr>
          <w:rFonts w:hint="eastAsia" w:eastAsia="仿宋_GB2312"/>
          <w:color w:val="auto"/>
          <w:kern w:val="0"/>
          <w:sz w:val="36"/>
          <w:szCs w:val="36"/>
          <w:highlight w:val="none"/>
          <w:lang w:val="en-US" w:eastAsia="zh-CN"/>
        </w:rPr>
        <w:t>2</w:t>
      </w:r>
      <w:r>
        <w:rPr>
          <w:rFonts w:eastAsia="仿宋_GB2312"/>
          <w:color w:val="auto"/>
          <w:kern w:val="0"/>
          <w:sz w:val="36"/>
          <w:szCs w:val="36"/>
          <w:highlight w:val="none"/>
        </w:rPr>
        <w:t>月</w:t>
      </w:r>
      <w:r>
        <w:rPr>
          <w:rFonts w:hint="eastAsia" w:eastAsia="仿宋_GB2312"/>
          <w:color w:val="auto"/>
          <w:kern w:val="0"/>
          <w:sz w:val="36"/>
          <w:szCs w:val="36"/>
          <w:highlight w:val="none"/>
          <w:lang w:val="en-US" w:eastAsia="zh-CN"/>
        </w:rPr>
        <w:t>20</w:t>
      </w:r>
      <w:r>
        <w:rPr>
          <w:rFonts w:eastAsia="仿宋_GB2312"/>
          <w:color w:val="auto"/>
          <w:kern w:val="0"/>
          <w:sz w:val="36"/>
          <w:szCs w:val="36"/>
          <w:highlight w:val="none"/>
        </w:rPr>
        <w:t>日</w:t>
      </w:r>
    </w:p>
    <w:p>
      <w:pPr>
        <w:spacing w:line="540" w:lineRule="exact"/>
        <w:jc w:val="center"/>
        <w:rPr>
          <w:rFonts w:eastAsia="仿宋_GB2312"/>
          <w:color w:val="auto"/>
          <w:kern w:val="0"/>
          <w:sz w:val="30"/>
          <w:szCs w:val="30"/>
          <w:highlight w:val="none"/>
        </w:rPr>
      </w:pPr>
    </w:p>
    <w:p>
      <w:pPr>
        <w:spacing w:line="540" w:lineRule="exact"/>
        <w:rPr>
          <w:rStyle w:val="25"/>
          <w:rFonts w:eastAsia="黑体"/>
          <w:b w:val="0"/>
          <w:color w:val="auto"/>
          <w:spacing w:val="-4"/>
          <w:sz w:val="32"/>
          <w:szCs w:val="32"/>
        </w:rPr>
      </w:pPr>
    </w:p>
    <w:p>
      <w:pPr>
        <w:spacing w:line="540" w:lineRule="exact"/>
        <w:ind w:firstLine="640"/>
        <w:rPr>
          <w:rStyle w:val="25"/>
          <w:rFonts w:eastAsia="黑体"/>
          <w:b w:val="0"/>
          <w:color w:val="auto"/>
          <w:spacing w:val="-4"/>
          <w:sz w:val="32"/>
          <w:szCs w:val="32"/>
        </w:rPr>
      </w:pPr>
    </w:p>
    <w:p>
      <w:pPr>
        <w:spacing w:line="540" w:lineRule="exact"/>
        <w:rPr>
          <w:rStyle w:val="25"/>
          <w:rFonts w:eastAsia="黑体"/>
          <w:b w:val="0"/>
          <w:color w:val="auto"/>
          <w:spacing w:val="-4"/>
          <w:sz w:val="32"/>
          <w:szCs w:val="32"/>
        </w:rPr>
      </w:pPr>
    </w:p>
    <w:p>
      <w:pPr>
        <w:spacing w:line="600" w:lineRule="exact"/>
        <w:jc w:val="center"/>
        <w:rPr>
          <w:rFonts w:eastAsia="黑体"/>
          <w:bCs/>
          <w:color w:val="auto"/>
          <w:sz w:val="32"/>
          <w:szCs w:val="32"/>
        </w:rPr>
      </w:pPr>
    </w:p>
    <w:p>
      <w:pPr>
        <w:spacing w:line="600" w:lineRule="exact"/>
        <w:rPr>
          <w:rFonts w:eastAsia="黑体"/>
          <w:bCs/>
          <w:color w:val="auto"/>
          <w:sz w:val="32"/>
          <w:szCs w:val="32"/>
        </w:rPr>
      </w:pPr>
    </w:p>
    <w:p>
      <w:pPr>
        <w:spacing w:line="600" w:lineRule="exact"/>
        <w:rPr>
          <w:rFonts w:eastAsia="黑体"/>
          <w:bCs/>
          <w:color w:val="auto"/>
          <w:sz w:val="32"/>
          <w:szCs w:val="32"/>
        </w:rPr>
      </w:pPr>
      <w:r>
        <w:rPr>
          <w:rFonts w:eastAsia="黑体"/>
          <w:bCs/>
          <w:color w:val="auto"/>
          <w:sz w:val="32"/>
          <w:szCs w:val="32"/>
        </w:rPr>
        <w:t>一、基本情况</w:t>
      </w:r>
    </w:p>
    <w:p>
      <w:pPr>
        <w:spacing w:line="600" w:lineRule="exact"/>
        <w:ind w:firstLine="641"/>
        <w:rPr>
          <w:rFonts w:eastAsia="楷体_GB2312"/>
          <w:b/>
          <w:bCs/>
          <w:color w:val="auto"/>
          <w:sz w:val="32"/>
          <w:szCs w:val="32"/>
        </w:rPr>
      </w:pPr>
      <w:r>
        <w:rPr>
          <w:rFonts w:eastAsia="楷体_GB2312"/>
          <w:b/>
          <w:bCs/>
          <w:color w:val="auto"/>
          <w:sz w:val="32"/>
          <w:szCs w:val="32"/>
        </w:rPr>
        <w:t>（一）项目概况</w:t>
      </w:r>
    </w:p>
    <w:p>
      <w:pPr>
        <w:spacing w:line="600" w:lineRule="exact"/>
        <w:ind w:firstLine="641"/>
        <w:rPr>
          <w:rFonts w:eastAsia="仿宋_GB2312"/>
          <w:b/>
          <w:bCs/>
          <w:color w:val="auto"/>
          <w:sz w:val="32"/>
          <w:szCs w:val="32"/>
        </w:rPr>
      </w:pPr>
      <w:r>
        <w:rPr>
          <w:rFonts w:eastAsia="仿宋_GB2312"/>
          <w:b/>
          <w:bCs/>
          <w:color w:val="auto"/>
          <w:sz w:val="32"/>
          <w:szCs w:val="32"/>
        </w:rPr>
        <w:t>1、项目背景</w:t>
      </w:r>
    </w:p>
    <w:p>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当前，随着我国经济快速发展，城市化进程加快，居民生活水平提高，城市宠物数量也 急剧增长，据统计我国宠物犬的数量在 l.5 亿只左右，宠物猫数量在 3000～5000 万只，而 </w:t>
      </w:r>
    </w:p>
    <w:p>
      <w:pPr>
        <w:spacing w:line="600" w:lineRule="exact"/>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且随着老龄化社会的到来，未来中国宠物的饲养人数还会出现爆发性增长。乌昌地区作为“一 带一路”桥头堡，伴侣动物的概念很早就已经深入市民脑海，很多家庭将宠物犬猫看作自己家庭成员的一份子，宠物市场越发的繁荣，拥有庞大的宠物犬猫数量。 </w:t>
      </w:r>
    </w:p>
    <w:p>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据统计，在感染人的 1415 种致病病原体中，有 374 种能够感染犬和猫。在世界上 200 多种主要人兽共患病中，与宠物犬猫有直接或间接关系的有 70 余种，其中常见且对人类危 害较为严重的有 10 余种。近年来，伴侣动物流感、弓形虫、布鲁氏菌病、钩端螺旋体、猫 爪热等感染率逐年上升，与人群发病的关联度越发紧密，宠物在布病、结核病、吸血昆虫传 播的虫媒性疾病(疥螨、巴贝斯虫病、心丝虫病、利什曼原虫病等)、皮肤真菌病等疫病的传 播也起到关键作用。此外，有许多人兽共患病在犬、猫常表现为隐性感染，使其成为危险的 传染源或储存宿主。其中，布鲁氏菌属分为 6 个种 19 个生物型，除了绵羊附睾种布鲁氏菌 和沙林鼠种布鲁氏菌两个种外，其余 4 个种包括羊种布鲁氏菌、牛种布鲁氏菌、猪种布鲁氏菌、犬种布鲁氏菌均可以感染犬，且包括在城市中作为伴侣动物饲养的各种宠物犬、猫都是布鲁氏菌的寄生宿主。近年来我国多个省份报道了犬感染布鲁氏菌病的情况，感染和发病率有上升的趋势，也有猫感染布鲁氏菌的报道，同时也有人感染犬种布鲁氏菌的报道，甚至还有犬感染羊种布鲁氏菌病后又传染给人的报道，以上研究提示城市家庭中饲养的宠物感染布鲁氏菌后传播给家庭人员的公共卫生风险越来越高，甚至很可能是城市人群感染布鲁氏菌病的主要途径。 </w:t>
      </w:r>
    </w:p>
    <w:p>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布鲁氏菌病作为新疆重要的人畜共患病，在牛羊等家畜中的发病率有反弹迹象，而且近2 年人间病例也不断增加，呈现反复发生的态势，目前关于乌昌地区宠物布病方面的研究仅 有零星报道，叶锋等人对 2013 －2014 年来自新疆乌鲁木齐地区动物医院收治的患犬、犬养殖场及流浪犬 216 份样品进行了布鲁菌病 RBPT 和 iELISA 检测，发现养殖犬、宠物犬和流浪 犬布鲁菌病阳性率介于 8．77% ～ 37．29% 之间，RBPT 和 iELISA 方法符合率达 95．37%， </w:t>
      </w:r>
    </w:p>
    <w:p>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建议对犬采用监测和淘汰相结合的办法积极开展布鲁菌病防控工作，加强对犬主的布鲁菌病防控知识宣传，提高犬主的防范意识。王涛等人采用流行病学横断面研究方法，通过估计流行率计算抽样数量，然后随机抽样，采用 IELISA 方法检测光滑型和粗糙型犬布鲁氏菌，同时结合调查问卷，获得乌鲁木齐市犬布鲁氏菌病流行率、感染风险因素和养犬人员对布鲁氏菌病认知情况，并对调查结果采用 SPSS 和 Excel 软件进行数据统计分析。结果显示 ：乌 鲁木齐市犬布鲁氏菌病总流行率为 25.5%（95%CI ：20.9%~30.1%），且犬种和牛羊种并存，牧区流行率最高，为 41.5%（95%CI：31.0%~52.0%）；公共卫生威胁严重；外购、散养、常接触牛羊、喂生肉、不处理犬粪便等行为是乌鲁木齐市犬布鲁氏菌感染的潜在风险因素，其中“常接触牛羊”（OR=1.97，95%CI：1.47~15.35）、“喂生肉”（OR=5.06，95%CI：1.69~20.74）是主要风险因素 ；乌鲁木齐市养犬人员对布鲁氏菌病的认知程度低，个人防护意识差。因此，应加强对犬感染牛羊种布鲁氏菌的公共卫生防控，减少犬与牛羊的直接接触，不喂生肉，定期开展犬布鲁氏菌病专项检测，同时加强宣传，提高养犬人员的布鲁氏菌病认知度。以上研究均认为加强预警监测和针对宠物主的宣传干预是综合防控布病在宠物和人间传播的重要手段。</w:t>
      </w:r>
    </w:p>
    <w:p>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另外一方面，随着《乌鲁木齐养犬管理条例》的实施，乌鲁木齐在宠物犬管理方面积累了一定经验，但在宠物犬猫布病防控方面一些瓶颈问题仍然存在，如宠物犬猫主要人畜共患 病监测和报告网络不完善，缺乏长期持续的检测数据、流行特征不全面，人通过宠物犬猫感染布病的种类、感染途径与关联程度不明，导致人感染的关键风险因素不清晰，甚至是空白，针对宠物主有效开展宣传干预的手段不多。 </w:t>
      </w:r>
    </w:p>
    <w:p>
      <w:pPr>
        <w:spacing w:line="60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 xml:space="preserve">因此，建立乌昌地区宠物（犬猫）布鲁氏菌病预警监测体系，开展持续监测，及时发现阳性病例进行处置，尽早对关联人员开展宣传干预，促使其及时就医，不仅是对动物疫病监测网络的完善，也是强化人兽共患病防控效果的有益探索，具有重大的经济和社会效益。 </w:t>
      </w:r>
    </w:p>
    <w:p>
      <w:pPr>
        <w:pStyle w:val="20"/>
        <w:numPr>
          <w:ilvl w:val="0"/>
          <w:numId w:val="2"/>
        </w:numPr>
        <w:spacing w:before="0" w:after="0" w:line="600" w:lineRule="exact"/>
        <w:ind w:firstLine="642" w:firstLineChars="200"/>
        <w:jc w:val="both"/>
        <w:rPr>
          <w:rFonts w:ascii="Times New Roman" w:hAnsi="Times New Roman" w:eastAsia="仿宋_GB2312"/>
          <w:color w:val="auto"/>
          <w:kern w:val="2"/>
        </w:rPr>
      </w:pPr>
      <w:r>
        <w:rPr>
          <w:rFonts w:ascii="Times New Roman" w:hAnsi="Times New Roman" w:eastAsia="仿宋_GB2312"/>
          <w:color w:val="auto"/>
          <w:kern w:val="2"/>
        </w:rPr>
        <w:t>项目主要内容：</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1 建立乌昌地区犬猫布病预警监测体系 </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选取覆盖乌昌地区主要城区的 10 家宠物医院作为预警监测点，在其门诊无纸化系统中 完善布病检测相关信息，包括宠物年龄、性别、品种、是否检测布病、检测方法、检测机构等信息，由 10 家宠物医院所在县级畜牧兽医部门（动物疾控中心）将这 10 家宠物医院纳入现有的兽医卫生平台中的国家动物疫情上报系统中，在 2 年时间内定期持续采集宠物犬猫的血清（宠物犬血清不少于 700 份，宠物猫血清不少于 300 份），样品送自治区动物疾控中心进行检测，发现阳性病例及时反馈给宠物医院由其主动及时向当地县级动物疾控中心报告，县级动物疾控中心在国家动物疫情上报系统中逐级上报疫病信息，同时及时向县级人医疾控部门通报有关情况，由人医疾控部门针对阳性犬猫的宠物主开展布病宣传干预，促使其及时就医筛查布病感染情况。由此，初步建立起以宠物医院为预警监测采样点，以兽医卫生平台中的国家动物疫情上报系统为依托，以自治区动物疾控中心为样品检测实验室及数据处理分 析主体，以县级、市级、自治区级动物疾控部门为信息上报主体，以县级、市级、自治区级 人医疾控部门为信息共享主体及宣传干预主体的乌昌地区宠物（犬猫）布鲁氏菌病预警监测 </w:t>
      </w:r>
    </w:p>
    <w:p>
      <w:pPr>
        <w:spacing w:line="600" w:lineRule="exact"/>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体系，在试运行的基础和征求专家意见基础上制定一份乌昌地区犬猫布鲁氏菌病预警体系运行管理制度。 </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 2 定期持续开展犬猫布病监测 </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采用 IELISA 方法检测对 1</w:t>
      </w:r>
      <w:r>
        <w:rPr>
          <w:rFonts w:hint="eastAsia" w:eastAsia="仿宋_GB2312" w:cs="Times New Roman"/>
          <w:color w:val="auto"/>
          <w:sz w:val="32"/>
          <w:szCs w:val="32"/>
          <w:lang w:val="en-US" w:eastAsia="zh-CN"/>
        </w:rPr>
        <w:t>1</w:t>
      </w:r>
      <w:r>
        <w:rPr>
          <w:rFonts w:hint="eastAsia" w:ascii="Times New Roman" w:hAnsi="Times New Roman" w:eastAsia="仿宋_GB2312" w:cs="Times New Roman"/>
          <w:color w:val="auto"/>
          <w:sz w:val="32"/>
          <w:szCs w:val="32"/>
          <w:lang w:val="en-US" w:eastAsia="zh-CN"/>
        </w:rPr>
        <w:t xml:space="preserve">家选定的宠物医院采集的宠物犬猫血清进行检测，统计布鲁 氏菌的感染情况，对数据进行收集整理。 </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3 制定宣传干预手册开展宣传干预 </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由自治区动物疾控中心联合自治区人医疾控部门和乌昌地区动物疾控中心及人医疾控部门有关专家制定一项适用于宠物主的布病防控宣传干预手册，在发现阳性病例后及时反馈 宠物主进行处置，尽早对关联人员开展宣传干预，促使其及时就医进行布病筛查。 </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4 分析乌昌地区犬猫布病流行特征 </w:t>
      </w:r>
    </w:p>
    <w:p>
      <w:pPr>
        <w:spacing w:line="600" w:lineRule="exact"/>
        <w:ind w:firstLine="640" w:firstLineChars="200"/>
        <w:rPr>
          <w:rFonts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lang w:val="en-US" w:eastAsia="zh-CN"/>
        </w:rPr>
        <w:t xml:space="preserve">结合宠物医院登记的抽样宠物犬猫的相关信息和实验室对样品的检测结果，经整理分析得出乌昌地区宠物犬猫布鲁氏菌病在不同区县、不同品种、不同年龄、不同性别、是否绝育， 犬猫是否外出、是否饲喂生肉等方面的流行特征。 </w:t>
      </w:r>
    </w:p>
    <w:p>
      <w:pPr>
        <w:spacing w:line="600" w:lineRule="exact"/>
        <w:ind w:firstLine="640" w:firstLineChars="200"/>
        <w:rPr>
          <w:color w:val="auto"/>
        </w:rPr>
      </w:pPr>
      <w:r>
        <w:rPr>
          <w:rFonts w:eastAsia="仿宋_GB2312"/>
          <w:color w:val="auto"/>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color w:val="auto"/>
          <w:sz w:val="32"/>
          <w:szCs w:val="32"/>
        </w:rPr>
      </w:pPr>
      <w:r>
        <w:rPr>
          <w:rFonts w:eastAsia="仿宋_GB2312"/>
          <w:color w:val="auto"/>
          <w:sz w:val="32"/>
          <w:szCs w:val="32"/>
        </w:rPr>
        <w:t>本项目总投资</w:t>
      </w:r>
      <w:r>
        <w:rPr>
          <w:rFonts w:hint="eastAsia" w:eastAsia="仿宋_GB2312"/>
          <w:color w:val="auto"/>
          <w:sz w:val="32"/>
          <w:szCs w:val="32"/>
          <w:lang w:val="en-US" w:eastAsia="zh-CN"/>
        </w:rPr>
        <w:t>22</w:t>
      </w:r>
      <w:r>
        <w:rPr>
          <w:rFonts w:eastAsia="仿宋_GB2312"/>
          <w:color w:val="auto"/>
          <w:sz w:val="32"/>
          <w:szCs w:val="32"/>
        </w:rPr>
        <w:t>万元，其中：财政本级资金</w:t>
      </w:r>
      <w:r>
        <w:rPr>
          <w:rFonts w:hint="eastAsia" w:eastAsia="仿宋_GB2312"/>
          <w:color w:val="auto"/>
          <w:sz w:val="32"/>
          <w:szCs w:val="32"/>
          <w:lang w:val="en-US" w:eastAsia="zh-CN"/>
        </w:rPr>
        <w:t>22</w:t>
      </w:r>
      <w:r>
        <w:rPr>
          <w:rFonts w:eastAsia="仿宋_GB2312"/>
          <w:color w:val="auto"/>
          <w:sz w:val="32"/>
          <w:szCs w:val="32"/>
        </w:rPr>
        <w:t>万元。项目实际支出</w:t>
      </w:r>
      <w:r>
        <w:rPr>
          <w:rFonts w:hint="eastAsia" w:eastAsia="仿宋_GB2312"/>
          <w:color w:val="auto"/>
          <w:sz w:val="32"/>
          <w:szCs w:val="32"/>
          <w:lang w:val="en-US" w:eastAsia="zh-CN"/>
        </w:rPr>
        <w:t>22</w:t>
      </w:r>
      <w:r>
        <w:rPr>
          <w:rFonts w:eastAsia="仿宋_GB2312"/>
          <w:color w:val="auto"/>
          <w:sz w:val="32"/>
          <w:szCs w:val="32"/>
        </w:rPr>
        <w:t>万元，支出率为100%</w:t>
      </w:r>
      <w:r>
        <w:rPr>
          <w:rFonts w:hint="eastAsia" w:eastAsia="仿宋_GB2312"/>
          <w:color w:val="auto"/>
          <w:sz w:val="32"/>
          <w:szCs w:val="32"/>
          <w:lang w:eastAsia="zh-CN"/>
        </w:rPr>
        <w:t>，因创新环境建设青年自然科学基金为多年连续性项目，该经费由我单位多个创新环境建设青年自然科学基金项目组成</w:t>
      </w:r>
      <w:r>
        <w:rPr>
          <w:rFonts w:eastAsia="仿宋_GB2312"/>
          <w:color w:val="auto"/>
          <w:sz w:val="32"/>
          <w:szCs w:val="32"/>
        </w:rPr>
        <w:t>。</w:t>
      </w:r>
    </w:p>
    <w:p>
      <w:pPr>
        <w:spacing w:line="600" w:lineRule="exact"/>
        <w:ind w:firstLine="642" w:firstLineChars="200"/>
        <w:rPr>
          <w:rFonts w:eastAsia="仿宋_GB2312"/>
          <w:b/>
          <w:bCs/>
          <w:color w:val="auto"/>
          <w:sz w:val="32"/>
          <w:szCs w:val="32"/>
        </w:rPr>
      </w:pPr>
      <w:r>
        <w:rPr>
          <w:rFonts w:eastAsia="仿宋_GB2312"/>
          <w:b/>
          <w:bCs/>
          <w:color w:val="auto"/>
          <w:sz w:val="32"/>
          <w:szCs w:val="32"/>
        </w:rPr>
        <w:t>3、资金投入和使用情况</w:t>
      </w:r>
    </w:p>
    <w:p>
      <w:pPr>
        <w:spacing w:line="600" w:lineRule="exact"/>
        <w:ind w:firstLine="640" w:firstLineChars="200"/>
        <w:rPr>
          <w:rFonts w:eastAsia="仿宋_GB2312"/>
          <w:color w:val="auto"/>
          <w:sz w:val="20"/>
          <w:szCs w:val="20"/>
        </w:rPr>
      </w:pPr>
      <w:r>
        <w:rPr>
          <w:rFonts w:eastAsia="仿宋_GB2312"/>
          <w:color w:val="auto"/>
          <w:sz w:val="32"/>
          <w:szCs w:val="32"/>
        </w:rPr>
        <w:t>（1）资金安排</w:t>
      </w:r>
    </w:p>
    <w:p>
      <w:pPr>
        <w:spacing w:line="600" w:lineRule="exact"/>
        <w:ind w:firstLine="640" w:firstLineChars="200"/>
        <w:rPr>
          <w:rFonts w:eastAsia="仿宋_GB2312"/>
          <w:color w:val="auto"/>
          <w:sz w:val="32"/>
          <w:szCs w:val="32"/>
        </w:rPr>
      </w:pPr>
      <w:r>
        <w:rPr>
          <w:rFonts w:eastAsia="仿宋_GB2312"/>
          <w:color w:val="auto"/>
          <w:sz w:val="32"/>
          <w:szCs w:val="32"/>
        </w:rPr>
        <w:t>项目总投资</w:t>
      </w:r>
      <w:r>
        <w:rPr>
          <w:rFonts w:hint="eastAsia" w:eastAsia="仿宋_GB2312"/>
          <w:color w:val="auto"/>
          <w:sz w:val="32"/>
          <w:szCs w:val="32"/>
          <w:lang w:val="en-US" w:eastAsia="zh-CN"/>
        </w:rPr>
        <w:t>22万元</w:t>
      </w:r>
      <w:r>
        <w:rPr>
          <w:rFonts w:eastAsia="仿宋_GB2312"/>
          <w:color w:val="auto"/>
          <w:sz w:val="32"/>
          <w:szCs w:val="32"/>
        </w:rPr>
        <w:t>，按照单位财务制度等相关规定，资金支出符合专项资金费用范围，做到了专款专用。在项目资金拨付和使用过程中，为确保项目资金的安全性，提高项目资金使用效率，严格遵循</w:t>
      </w:r>
      <w:r>
        <w:rPr>
          <w:rFonts w:hint="eastAsia" w:eastAsia="仿宋_GB2312"/>
          <w:color w:val="auto"/>
          <w:sz w:val="32"/>
          <w:szCs w:val="32"/>
          <w:lang w:eastAsia="zh-CN"/>
        </w:rPr>
        <w:t>自有</w:t>
      </w:r>
      <w:r>
        <w:rPr>
          <w:rFonts w:eastAsia="仿宋_GB2312"/>
          <w:color w:val="auto"/>
          <w:sz w:val="32"/>
          <w:szCs w:val="32"/>
        </w:rPr>
        <w:t>资金的拨付程序，认真审核项目实施各阶段的相关材料和手续，根据项目实施进展情况拨付资金。</w:t>
      </w:r>
    </w:p>
    <w:p>
      <w:pPr>
        <w:spacing w:line="600" w:lineRule="exact"/>
        <w:ind w:firstLine="640" w:firstLineChars="200"/>
        <w:rPr>
          <w:rFonts w:eastAsia="仿宋_GB2312"/>
          <w:color w:val="auto"/>
          <w:sz w:val="32"/>
          <w:szCs w:val="32"/>
        </w:rPr>
      </w:pPr>
      <w:r>
        <w:rPr>
          <w:rFonts w:eastAsia="仿宋_GB2312"/>
          <w:color w:val="auto"/>
          <w:sz w:val="32"/>
          <w:szCs w:val="32"/>
        </w:rPr>
        <w:t>（2）预算资金来源及使用情况</w:t>
      </w:r>
      <w:bookmarkStart w:id="0" w:name="page10"/>
      <w:bookmarkEnd w:id="0"/>
    </w:p>
    <w:p>
      <w:pPr>
        <w:pStyle w:val="20"/>
        <w:spacing w:before="0" w:after="0" w:line="600" w:lineRule="exact"/>
        <w:ind w:firstLine="640" w:firstLineChars="200"/>
        <w:jc w:val="both"/>
        <w:rPr>
          <w:rFonts w:ascii="Times New Roman" w:hAnsi="Times New Roman" w:eastAsia="仿宋_GB2312"/>
          <w:b w:val="0"/>
          <w:bCs w:val="0"/>
          <w:color w:val="auto"/>
          <w:kern w:val="2"/>
        </w:rPr>
      </w:pPr>
      <w:r>
        <w:rPr>
          <w:rFonts w:ascii="Times New Roman" w:hAnsi="Times New Roman" w:eastAsia="仿宋_GB2312"/>
          <w:b w:val="0"/>
          <w:bCs w:val="0"/>
          <w:color w:val="auto"/>
          <w:kern w:val="2"/>
        </w:rPr>
        <w:t>项</w:t>
      </w:r>
      <w:r>
        <w:rPr>
          <w:rFonts w:ascii="Times New Roman" w:hAnsi="Times New Roman" w:eastAsia="仿宋_GB2312" w:cs="Times New Roman"/>
          <w:b w:val="0"/>
          <w:bCs w:val="0"/>
          <w:color w:val="auto"/>
          <w:kern w:val="2"/>
          <w:sz w:val="32"/>
          <w:szCs w:val="32"/>
          <w:lang w:val="en-US" w:eastAsia="zh-CN" w:bidi="ar-SA"/>
        </w:rPr>
        <w:t>目预算资金来源于</w:t>
      </w:r>
      <w:r>
        <w:rPr>
          <w:rFonts w:hint="eastAsia" w:ascii="Times New Roman" w:hAnsi="Times New Roman" w:eastAsia="仿宋_GB2312" w:cs="Times New Roman"/>
          <w:b w:val="0"/>
          <w:bCs w:val="0"/>
          <w:color w:val="auto"/>
          <w:kern w:val="2"/>
          <w:sz w:val="32"/>
          <w:szCs w:val="32"/>
          <w:lang w:val="en-US" w:eastAsia="zh-CN" w:bidi="ar-SA"/>
        </w:rPr>
        <w:t>单位自有</w:t>
      </w:r>
      <w:r>
        <w:rPr>
          <w:rFonts w:ascii="Times New Roman" w:hAnsi="Times New Roman" w:eastAsia="仿宋_GB2312" w:cs="Times New Roman"/>
          <w:b w:val="0"/>
          <w:bCs w:val="0"/>
          <w:color w:val="auto"/>
          <w:kern w:val="2"/>
          <w:sz w:val="32"/>
          <w:szCs w:val="32"/>
          <w:lang w:val="en-US" w:eastAsia="zh-CN" w:bidi="ar-SA"/>
        </w:rPr>
        <w:t>资金，项目资金到位</w:t>
      </w:r>
      <w:r>
        <w:rPr>
          <w:rFonts w:hint="eastAsia" w:ascii="Times New Roman" w:hAnsi="Times New Roman" w:eastAsia="仿宋_GB2312" w:cs="Times New Roman"/>
          <w:b w:val="0"/>
          <w:bCs w:val="0"/>
          <w:color w:val="auto"/>
          <w:kern w:val="2"/>
          <w:sz w:val="32"/>
          <w:szCs w:val="32"/>
          <w:lang w:val="en-US" w:eastAsia="zh-CN" w:bidi="ar-SA"/>
        </w:rPr>
        <w:t>22万元</w:t>
      </w:r>
      <w:r>
        <w:rPr>
          <w:rFonts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全年执行22万元，预算执行率为100</w:t>
      </w:r>
      <w:r>
        <w:rPr>
          <w:rFonts w:ascii="Times New Roman" w:hAnsi="Times New Roman" w:eastAsia="仿宋_GB2312" w:cs="Times New Roman"/>
          <w:b w:val="0"/>
          <w:bCs w:val="0"/>
          <w:color w:val="auto"/>
          <w:kern w:val="2"/>
          <w:sz w:val="32"/>
          <w:szCs w:val="32"/>
          <w:lang w:val="en-US" w:eastAsia="zh-CN" w:bidi="ar-SA"/>
        </w:rPr>
        <w:t>%,</w:t>
      </w:r>
      <w:r>
        <w:rPr>
          <w:rFonts w:hint="eastAsia" w:ascii="Times New Roman" w:hAnsi="Times New Roman" w:eastAsia="仿宋_GB2312" w:cs="Times New Roman"/>
          <w:b w:val="0"/>
          <w:bCs w:val="0"/>
          <w:color w:val="auto"/>
          <w:kern w:val="2"/>
          <w:sz w:val="32"/>
          <w:szCs w:val="32"/>
          <w:lang w:val="en-US" w:eastAsia="zh-CN" w:bidi="ar-SA"/>
        </w:rPr>
        <w:t>主要</w:t>
      </w:r>
      <w:r>
        <w:rPr>
          <w:rFonts w:ascii="Times New Roman" w:hAnsi="Times New Roman" w:eastAsia="仿宋_GB2312" w:cs="Times New Roman"/>
          <w:b w:val="0"/>
          <w:bCs w:val="0"/>
          <w:color w:val="auto"/>
          <w:kern w:val="2"/>
          <w:sz w:val="32"/>
          <w:szCs w:val="32"/>
          <w:lang w:val="en-US" w:eastAsia="zh-CN" w:bidi="ar-SA"/>
        </w:rPr>
        <w:t>用于支付项</w:t>
      </w:r>
      <w:r>
        <w:rPr>
          <w:rFonts w:ascii="Times New Roman" w:hAnsi="Times New Roman" w:eastAsia="仿宋_GB2312"/>
          <w:b w:val="0"/>
          <w:bCs w:val="0"/>
          <w:color w:val="auto"/>
          <w:kern w:val="2"/>
        </w:rPr>
        <w:t>目实施进程中的各项费用。</w:t>
      </w:r>
    </w:p>
    <w:p>
      <w:pPr>
        <w:spacing w:line="600" w:lineRule="exact"/>
        <w:ind w:firstLine="642" w:firstLineChars="200"/>
        <w:rPr>
          <w:rFonts w:eastAsia="楷体_GB2312"/>
          <w:b/>
          <w:bCs/>
          <w:color w:val="auto"/>
          <w:sz w:val="32"/>
          <w:szCs w:val="32"/>
        </w:rPr>
      </w:pPr>
      <w:r>
        <w:rPr>
          <w:rFonts w:eastAsia="楷体_GB2312"/>
          <w:b/>
          <w:bCs/>
          <w:color w:val="auto"/>
          <w:sz w:val="32"/>
          <w:szCs w:val="32"/>
        </w:rPr>
        <w:t>（二）项目绩效目标</w:t>
      </w:r>
    </w:p>
    <w:p>
      <w:pPr>
        <w:spacing w:line="600" w:lineRule="exact"/>
        <w:ind w:firstLine="640" w:firstLineChars="200"/>
        <w:rPr>
          <w:rFonts w:eastAsia="仿宋_GB2312"/>
          <w:color w:val="auto"/>
          <w:sz w:val="32"/>
          <w:szCs w:val="32"/>
        </w:rPr>
      </w:pPr>
      <w:r>
        <w:rPr>
          <w:rFonts w:eastAsia="仿宋_GB2312"/>
          <w:color w:val="auto"/>
          <w:sz w:val="32"/>
          <w:szCs w:val="32"/>
        </w:rPr>
        <w:t>1、总体目标</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（1） 初步建立起以宠物医院为预警监测采样点，以兽医卫生平台中的国家动物疫情上报系统为依托，以自治区动物疾控中心为样品检测实验室及数据处理分析主体，以县级、市级、自治区级动物疾控部门为信息上报主体，以县级、市级、自治区级人医疾控部门为信息共享主体及宣传干预主体的乌昌地区宠物（犬猫）布鲁氏菌病预警监测体系，在试运行的基础和征求专家意见基础上制定一份乌昌地区犬猫布鲁氏菌病预警体系运行管理制度。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（2）在长期监测采样的基础上，采用 IELISA 方法检测宠物犬猫布鲁氏菌感染情况，收集到相关数据。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（3）完成样品细胞因子、免疫抗体检测</w:t>
      </w:r>
      <w:r>
        <w:rPr>
          <w:rFonts w:hint="eastAsia" w:eastAsia="仿宋_GB2312" w:cs="Times New Roman"/>
          <w:b w:val="0"/>
          <w:bCs w:val="0"/>
          <w:color w:val="auto"/>
          <w:kern w:val="2"/>
          <w:sz w:val="32"/>
          <w:szCs w:val="32"/>
          <w:lang w:val="en-US" w:eastAsia="zh-CN" w:bidi="ar-SA"/>
        </w:rPr>
        <w:t>150份</w:t>
      </w:r>
      <w:r>
        <w:rPr>
          <w:rFonts w:hint="eastAsia" w:ascii="Times New Roman" w:hAnsi="Times New Roman" w:eastAsia="仿宋_GB2312" w:cs="Times New Roman"/>
          <w:b w:val="0"/>
          <w:bCs w:val="0"/>
          <w:color w:val="auto"/>
          <w:kern w:val="2"/>
          <w:sz w:val="32"/>
          <w:szCs w:val="32"/>
          <w:lang w:val="en-US" w:eastAsia="zh-CN" w:bidi="ar-SA"/>
        </w:rPr>
        <w:t xml:space="preserve">。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 完成羊梭菌病病料检测样品</w:t>
      </w:r>
      <w:r>
        <w:rPr>
          <w:rFonts w:hint="eastAsia" w:eastAsia="仿宋_GB2312" w:cs="Times New Roman"/>
          <w:b w:val="0"/>
          <w:bCs w:val="0"/>
          <w:color w:val="auto"/>
          <w:kern w:val="2"/>
          <w:sz w:val="32"/>
          <w:szCs w:val="32"/>
          <w:lang w:val="en-US" w:eastAsia="zh-CN" w:bidi="ar-SA"/>
        </w:rPr>
        <w:t>170份</w:t>
      </w:r>
      <w:r>
        <w:rPr>
          <w:rFonts w:hint="eastAsia" w:ascii="Times New Roman" w:hAnsi="Times New Roman" w:eastAsia="仿宋_GB2312" w:cs="Times New Roman"/>
          <w:b w:val="0"/>
          <w:bCs w:val="0"/>
          <w:color w:val="auto"/>
          <w:kern w:val="2"/>
          <w:sz w:val="32"/>
          <w:szCs w:val="32"/>
          <w:lang w:val="en-US" w:eastAsia="zh-CN" w:bidi="ar-SA"/>
        </w:rPr>
        <w:t xml:space="preserve">。 </w:t>
      </w:r>
    </w:p>
    <w:p>
      <w:pPr>
        <w:keepNext w:val="0"/>
        <w:keepLines w:val="0"/>
        <w:widowControl/>
        <w:suppressLineNumbers w:val="0"/>
        <w:ind w:firstLine="640" w:firstLineChars="200"/>
        <w:jc w:val="left"/>
        <w:rPr>
          <w:rFonts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（5）发表论文 </w:t>
      </w:r>
      <w:r>
        <w:rPr>
          <w:rFonts w:hint="eastAsia" w:eastAsia="仿宋_GB2312" w:cs="Times New Roman"/>
          <w:b w:val="0"/>
          <w:bCs w:val="0"/>
          <w:color w:val="auto"/>
          <w:kern w:val="2"/>
          <w:sz w:val="32"/>
          <w:szCs w:val="32"/>
          <w:lang w:val="en-US" w:eastAsia="zh-CN" w:bidi="ar-SA"/>
        </w:rPr>
        <w:t>3</w:t>
      </w:r>
      <w:r>
        <w:rPr>
          <w:rFonts w:hint="eastAsia" w:ascii="Times New Roman" w:hAnsi="Times New Roman" w:eastAsia="仿宋_GB2312" w:cs="Times New Roman"/>
          <w:b w:val="0"/>
          <w:bCs w:val="0"/>
          <w:color w:val="auto"/>
          <w:kern w:val="2"/>
          <w:sz w:val="32"/>
          <w:szCs w:val="32"/>
          <w:lang w:val="en-US" w:eastAsia="zh-CN" w:bidi="ar-SA"/>
        </w:rPr>
        <w:t xml:space="preserve"> 篇。 </w:t>
      </w:r>
    </w:p>
    <w:p>
      <w:pPr>
        <w:spacing w:line="600" w:lineRule="exact"/>
        <w:ind w:firstLine="640" w:firstLineChars="200"/>
        <w:rPr>
          <w:color w:val="auto"/>
        </w:rPr>
      </w:pPr>
      <w:r>
        <w:rPr>
          <w:rFonts w:eastAsia="仿宋_GB2312"/>
          <w:color w:val="auto"/>
          <w:sz w:val="32"/>
          <w:szCs w:val="32"/>
        </w:rPr>
        <w:t>2、阶段性目标</w:t>
      </w:r>
    </w:p>
    <w:p>
      <w:pPr>
        <w:spacing w:line="600" w:lineRule="exact"/>
        <w:ind w:firstLine="640" w:firstLineChars="200"/>
        <w:rPr>
          <w:rFonts w:eastAsia="仿宋_GB2312"/>
          <w:color w:val="auto"/>
          <w:sz w:val="32"/>
          <w:szCs w:val="32"/>
        </w:rPr>
      </w:pPr>
      <w:r>
        <w:rPr>
          <w:rFonts w:eastAsia="仿宋_GB2312"/>
          <w:color w:val="auto"/>
          <w:sz w:val="32"/>
          <w:szCs w:val="32"/>
        </w:rPr>
        <w:t>（1）前期准备：通过制定项目实施方案，经项目负责人审核通过后，有序开展后续工作。</w:t>
      </w:r>
    </w:p>
    <w:p>
      <w:pPr>
        <w:spacing w:line="600" w:lineRule="exact"/>
        <w:ind w:firstLine="640" w:firstLineChars="200"/>
        <w:rPr>
          <w:rFonts w:eastAsia="仿宋_GB2312"/>
          <w:color w:val="auto"/>
          <w:sz w:val="32"/>
          <w:szCs w:val="32"/>
        </w:rPr>
      </w:pPr>
      <w:r>
        <w:rPr>
          <w:rFonts w:eastAsia="仿宋_GB2312"/>
          <w:color w:val="auto"/>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color w:val="auto"/>
          <w:sz w:val="32"/>
          <w:szCs w:val="32"/>
        </w:rPr>
      </w:pPr>
      <w:r>
        <w:rPr>
          <w:rFonts w:eastAsia="黑体"/>
          <w:color w:val="auto"/>
          <w:sz w:val="32"/>
          <w:szCs w:val="32"/>
        </w:rPr>
        <w:t>二、绩效评价工作开展情况</w:t>
      </w:r>
    </w:p>
    <w:p>
      <w:pPr>
        <w:spacing w:line="600" w:lineRule="exact"/>
        <w:ind w:firstLine="642" w:firstLineChars="200"/>
        <w:rPr>
          <w:rFonts w:eastAsia="楷体_GB2312"/>
          <w:b/>
          <w:bCs/>
          <w:color w:val="auto"/>
          <w:sz w:val="32"/>
          <w:szCs w:val="32"/>
        </w:rPr>
      </w:pPr>
      <w:r>
        <w:rPr>
          <w:rFonts w:eastAsia="楷体_GB2312"/>
          <w:b/>
          <w:bCs/>
          <w:color w:val="auto"/>
          <w:sz w:val="32"/>
          <w:szCs w:val="32"/>
        </w:rPr>
        <w:t>（一）绩效评价目的、对象和范围</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1、绩效评价的目的</w:t>
      </w:r>
    </w:p>
    <w:p>
      <w:pPr>
        <w:spacing w:line="600" w:lineRule="exact"/>
        <w:ind w:firstLine="640" w:firstLineChars="200"/>
        <w:rPr>
          <w:rFonts w:eastAsia="仿宋_GB2312"/>
          <w:color w:val="auto"/>
          <w:sz w:val="32"/>
          <w:szCs w:val="32"/>
        </w:rPr>
      </w:pPr>
      <w:r>
        <w:rPr>
          <w:rFonts w:eastAsia="仿宋_GB2312"/>
          <w:color w:val="auto"/>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3"/>
        </w:numPr>
        <w:spacing w:line="600" w:lineRule="exact"/>
        <w:ind w:firstLine="640" w:firstLineChars="200"/>
        <w:rPr>
          <w:rFonts w:eastAsia="仿宋_GB2312"/>
          <w:color w:val="auto"/>
          <w:sz w:val="32"/>
          <w:szCs w:val="32"/>
        </w:rPr>
      </w:pPr>
      <w:r>
        <w:rPr>
          <w:rFonts w:eastAsia="仿宋_GB2312"/>
          <w:color w:val="auto"/>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color w:val="auto"/>
          <w:sz w:val="32"/>
          <w:szCs w:val="32"/>
        </w:rPr>
      </w:pPr>
      <w:r>
        <w:rPr>
          <w:rFonts w:eastAsia="仿宋_GB2312"/>
          <w:color w:val="auto"/>
          <w:sz w:val="32"/>
          <w:szCs w:val="32"/>
        </w:rPr>
        <w:t>（2）项目绩效管理财政支出运行提供及时、有效的信息。</w:t>
      </w:r>
    </w:p>
    <w:p>
      <w:pPr>
        <w:spacing w:line="600" w:lineRule="exact"/>
        <w:ind w:firstLine="640" w:firstLineChars="200"/>
        <w:rPr>
          <w:rFonts w:eastAsia="仿宋_GB2312"/>
          <w:color w:val="auto"/>
          <w:sz w:val="32"/>
          <w:szCs w:val="32"/>
        </w:rPr>
      </w:pPr>
      <w:r>
        <w:rPr>
          <w:rFonts w:eastAsia="仿宋_GB2312"/>
          <w:color w:val="auto"/>
          <w:sz w:val="32"/>
          <w:szCs w:val="32"/>
        </w:rPr>
        <w:t>综合来看，通过开展有效的财政支出绩效评价管理，达到改进预算管理、控制节约成本，提高预算资金使用效益的目的。</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2、绩效评价的对象</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（1） 初步建立起以宠物医院为预警监测采样点，以兽医卫生平台中的国家动物疫情上报系统为依托，以自治区动物疾控中心为样品检测实验室及数据处理分析主体，以县级、市级、自治区级动物疾控部门为信息上报主体，以县级、市级、自治区级人医疾控部门为信息共享主体及宣传干预主体的乌昌地区宠物（犬猫）布鲁氏菌病预警监测体系，在试运行的基础和征求专家意见基础上制定一份乌昌地区犬猫布鲁氏菌病预警体系运行管理制度。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（2）在长期监测采样的基础上，采用 IELISA 方法检测宠物犬猫布鲁氏菌感染情况，收集到相关数据。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（3）完成样品细胞因子、免疫抗体检测</w:t>
      </w:r>
      <w:r>
        <w:rPr>
          <w:rFonts w:hint="eastAsia" w:eastAsia="仿宋_GB2312" w:cs="Times New Roman"/>
          <w:b w:val="0"/>
          <w:bCs w:val="0"/>
          <w:color w:val="auto"/>
          <w:kern w:val="2"/>
          <w:sz w:val="32"/>
          <w:szCs w:val="32"/>
          <w:lang w:val="en-US" w:eastAsia="zh-CN" w:bidi="ar-SA"/>
        </w:rPr>
        <w:t>150份</w:t>
      </w:r>
      <w:r>
        <w:rPr>
          <w:rFonts w:hint="eastAsia" w:ascii="Times New Roman" w:hAnsi="Times New Roman" w:eastAsia="仿宋_GB2312" w:cs="Times New Roman"/>
          <w:b w:val="0"/>
          <w:bCs w:val="0"/>
          <w:color w:val="auto"/>
          <w:kern w:val="2"/>
          <w:sz w:val="32"/>
          <w:szCs w:val="32"/>
          <w:lang w:val="en-US" w:eastAsia="zh-CN" w:bidi="ar-SA"/>
        </w:rPr>
        <w:t xml:space="preserve">。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（4） 完成羊梭菌病病料检测样品</w:t>
      </w:r>
      <w:r>
        <w:rPr>
          <w:rFonts w:hint="eastAsia" w:eastAsia="仿宋_GB2312" w:cs="Times New Roman"/>
          <w:b w:val="0"/>
          <w:bCs w:val="0"/>
          <w:color w:val="auto"/>
          <w:kern w:val="2"/>
          <w:sz w:val="32"/>
          <w:szCs w:val="32"/>
          <w:lang w:val="en-US" w:eastAsia="zh-CN" w:bidi="ar-SA"/>
        </w:rPr>
        <w:t>170份</w:t>
      </w:r>
      <w:r>
        <w:rPr>
          <w:rFonts w:hint="eastAsia" w:ascii="Times New Roman" w:hAnsi="Times New Roman" w:eastAsia="仿宋_GB2312" w:cs="Times New Roman"/>
          <w:b w:val="0"/>
          <w:bCs w:val="0"/>
          <w:color w:val="auto"/>
          <w:kern w:val="2"/>
          <w:sz w:val="32"/>
          <w:szCs w:val="32"/>
          <w:lang w:val="en-US" w:eastAsia="zh-CN" w:bidi="ar-SA"/>
        </w:rPr>
        <w:t xml:space="preserve">。 </w:t>
      </w:r>
    </w:p>
    <w:p>
      <w:pPr>
        <w:keepNext w:val="0"/>
        <w:keepLines w:val="0"/>
        <w:widowControl/>
        <w:suppressLineNumbers w:val="0"/>
        <w:ind w:firstLine="640" w:firstLineChars="200"/>
        <w:jc w:val="left"/>
        <w:rPr>
          <w:rFonts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（5）发表论文 </w:t>
      </w:r>
      <w:r>
        <w:rPr>
          <w:rFonts w:hint="eastAsia" w:eastAsia="仿宋_GB2312" w:cs="Times New Roman"/>
          <w:b w:val="0"/>
          <w:bCs w:val="0"/>
          <w:color w:val="auto"/>
          <w:kern w:val="2"/>
          <w:sz w:val="32"/>
          <w:szCs w:val="32"/>
          <w:lang w:val="en-US" w:eastAsia="zh-CN" w:bidi="ar-SA"/>
        </w:rPr>
        <w:t>3</w:t>
      </w:r>
      <w:r>
        <w:rPr>
          <w:rFonts w:hint="eastAsia" w:ascii="Times New Roman" w:hAnsi="Times New Roman" w:eastAsia="仿宋_GB2312" w:cs="Times New Roman"/>
          <w:b w:val="0"/>
          <w:bCs w:val="0"/>
          <w:color w:val="auto"/>
          <w:kern w:val="2"/>
          <w:sz w:val="32"/>
          <w:szCs w:val="32"/>
          <w:lang w:val="en-US" w:eastAsia="zh-CN" w:bidi="ar-SA"/>
        </w:rPr>
        <w:t xml:space="preserve"> 篇。 </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3、绩效评价的范围</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（1）初步建立起以宠物医院为预警监测采样点，以兽医卫生平台中的国家动物疫情上报系统为依托，以自治区动物疾控中心为样品检测实验室及数据处理分析主体，以县级、市 级、自治区动物疾控部门为信息上报主体，以县级、市级、自治区人医疾控部门为信息共享主体及宣传干预主体的乌昌地区宠物（犬猫）布鲁氏菌病预警监测体系。此方面研究较少，只能在试运行的过程中适时调整，试图探索一套适用于乌昌地区行之有效的宠物犬猫预警监测体系的运行模式和相关管理制度。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（2） 由于目前现行的《GB/T 18646-2018 动物布鲁氏菌病诊断技术》规定的虎红平板凝集试验、试管凝集试验和补体结合试验，不适用于犬种和绵羊附睾种布鲁氏菌的检测。犬猫布鲁氏菌病的血清学诊断没有相关标准，在长期监测采样的基础上，采用 IELISA 方法检测宠物犬猫布鲁氏菌感染情况，收集到相关数据，为进一步探索犬猫的血清学诊断方法的确认奠定基础。 </w:t>
      </w:r>
    </w:p>
    <w:p>
      <w:pPr>
        <w:keepNext w:val="0"/>
        <w:keepLines w:val="0"/>
        <w:widowControl/>
        <w:suppressLineNumbers w:val="0"/>
        <w:ind w:firstLine="640" w:firstLineChars="20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 xml:space="preserve">（3）宠物犬猫主要人畜共患病监测和报告网络不完善，缺乏长期持续的检测数据、流行特征不全面，人通过宠物犬猫感染布病的种类、感染途径与关联程度不明，导致人感染的 </w:t>
      </w:r>
    </w:p>
    <w:p>
      <w:pPr>
        <w:keepNext w:val="0"/>
        <w:keepLines w:val="0"/>
        <w:widowControl/>
        <w:suppressLineNumbers w:val="0"/>
        <w:jc w:val="left"/>
        <w:rPr>
          <w:rFonts w:hint="eastAsia"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关键风险因素不清晰，甚至是空白，针对宠物主有效开展宣传干预的手段不多，故结合宠物医院登记的抽样宠物犬猫的相关信息和实验室对样品的检测结果，经整理分析得出乌昌地区宠物犬猫布鲁氏菌病在不同区县、不同品种、不同年龄、不同性别、是否绝育，犬猫是否外出、是否饲喂生肉等方面的流行特征和传播的关键因素，探索适用于适用于乌昌地区宠物犬猫宠物主的布病宣传干预手册</w:t>
      </w:r>
    </w:p>
    <w:p>
      <w:pPr>
        <w:spacing w:line="600" w:lineRule="exact"/>
        <w:ind w:firstLine="642" w:firstLineChars="200"/>
        <w:rPr>
          <w:color w:val="auto"/>
        </w:rPr>
      </w:pPr>
      <w:r>
        <w:rPr>
          <w:rFonts w:eastAsia="楷体_GB2312"/>
          <w:b/>
          <w:bCs/>
          <w:color w:val="auto"/>
          <w:sz w:val="32"/>
          <w:szCs w:val="32"/>
        </w:rPr>
        <w:t>（二）绩效评价原则、评价指标体系（详情见表1）、评价方法、评价标准。</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1、绩效评价原则</w:t>
      </w:r>
    </w:p>
    <w:p>
      <w:pPr>
        <w:spacing w:line="600" w:lineRule="exact"/>
        <w:ind w:firstLine="640" w:firstLineChars="200"/>
        <w:rPr>
          <w:rFonts w:eastAsia="仿宋_GB2312"/>
          <w:color w:val="auto"/>
          <w:sz w:val="32"/>
          <w:szCs w:val="32"/>
        </w:rPr>
      </w:pPr>
      <w:r>
        <w:rPr>
          <w:rFonts w:eastAsia="仿宋_GB2312"/>
          <w:color w:val="auto"/>
          <w:sz w:val="32"/>
          <w:szCs w:val="32"/>
        </w:rPr>
        <w:t>本次项目绩效评价遵循以下基本原则：</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（1）科学公正。绩效评价应当运用科学合理的方法，按照规范的程序，对项目绩效进行客观、公正的反映。</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（2）统筹兼顾。单位自评、部门评价和财政评价应职责明确，各有侧重，相互衔接。单位自评应由项目单位自主实施，即“谁支出、谁自评”。部门评价和财政评价应在单位自评的基础上开展。</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（3）激励约束。绩效评价结果应与预算安排、政策调整、改进管理实质性挂钩，体现奖优罚劣和激励相容导向，有效要安排、低效要压减、无效要问责。</w:t>
      </w:r>
    </w:p>
    <w:p>
      <w:pPr>
        <w:pStyle w:val="2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（4）公开透明。绩效评价结果应依法依规公开，并自觉接受社会监督。</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2、评价指标体系</w:t>
      </w:r>
    </w:p>
    <w:p>
      <w:pPr>
        <w:spacing w:line="600" w:lineRule="exact"/>
        <w:ind w:firstLine="708" w:firstLineChars="200"/>
        <w:rPr>
          <w:color w:val="auto"/>
          <w:spacing w:val="17"/>
          <w:sz w:val="32"/>
          <w:szCs w:val="32"/>
        </w:rPr>
      </w:pPr>
      <w:r>
        <w:rPr>
          <w:rFonts w:eastAsia="仿宋_GB2312"/>
          <w:color w:val="auto"/>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（1）确定评价指标</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（2）确定权重</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确定各个指标相对于项目总体绩效的权重分值。在绩效评价指标体系中，项目决策权重为5分，项目过程权重为5分，项目产出权重为50分，项目效益权重为40分。</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（3）确定指标标准值</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指标标准值是绩效评价指标的尺度，既要反映同类项目的先进水平，又要符合项目的实际绩效水平。具体采用计划标准等确定此次绩效评价指标标准值。</w:t>
      </w:r>
    </w:p>
    <w:p>
      <w:pPr>
        <w:pStyle w:val="20"/>
        <w:spacing w:before="0" w:after="0" w:line="600" w:lineRule="exact"/>
        <w:ind w:firstLine="708" w:firstLineChars="200"/>
        <w:jc w:val="both"/>
        <w:rPr>
          <w:rFonts w:ascii="Times New Roman" w:hAnsi="Times New Roman" w:eastAsia="仿宋_GB2312"/>
          <w:b w:val="0"/>
          <w:bCs w:val="0"/>
          <w:color w:val="auto"/>
          <w:spacing w:val="17"/>
          <w:kern w:val="2"/>
        </w:rPr>
      </w:pPr>
      <w:r>
        <w:rPr>
          <w:rFonts w:ascii="Times New Roman" w:hAnsi="Times New Roman" w:eastAsia="仿宋_GB2312"/>
          <w:b w:val="0"/>
          <w:bCs w:val="0"/>
          <w:color w:val="auto"/>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0"/>
        <w:widowControl w:val="0"/>
        <w:spacing w:before="0" w:after="0" w:line="600" w:lineRule="exact"/>
        <w:ind w:firstLine="708" w:firstLineChars="200"/>
        <w:jc w:val="both"/>
        <w:outlineLvl w:val="9"/>
        <w:rPr>
          <w:rFonts w:ascii="Times New Roman" w:hAnsi="Times New Roman" w:eastAsia="仿宋_GB2312"/>
          <w:b w:val="0"/>
          <w:bCs w:val="0"/>
          <w:color w:val="auto"/>
          <w:spacing w:val="17"/>
        </w:rPr>
      </w:pPr>
      <w:r>
        <w:rPr>
          <w:rFonts w:ascii="Times New Roman" w:hAnsi="Times New Roman" w:eastAsia="仿宋_GB2312"/>
          <w:b w:val="0"/>
          <w:bCs w:val="0"/>
          <w:color w:val="auto"/>
          <w:spacing w:val="17"/>
        </w:rPr>
        <w:t>具体评价指标体系详情见附件1</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3、绩效评价方法</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（1）比较法</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通过对绩效目标与实施效果、历史与当期情况，综合分析绩效目标实现程度。对</w:t>
      </w:r>
      <w:r>
        <w:rPr>
          <w:rFonts w:eastAsia="仿宋_GB2312"/>
          <w:color w:val="auto"/>
          <w:sz w:val="32"/>
          <w:szCs w:val="32"/>
        </w:rPr>
        <w:t>项目</w:t>
      </w:r>
      <w:r>
        <w:rPr>
          <w:rFonts w:eastAsia="仿宋_GB2312"/>
          <w:color w:val="auto"/>
          <w:spacing w:val="17"/>
          <w:sz w:val="32"/>
          <w:szCs w:val="32"/>
        </w:rPr>
        <w:t>最终验收情况与年度绩效目标对比、预算资金执行情况等相关因素进行比较。</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（2）因素分析法</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通过综合分析影响绩效目标实现、实施效果的内外因素，评价绩效目标实现程度。通过对</w:t>
      </w:r>
      <w:r>
        <w:rPr>
          <w:rFonts w:eastAsia="仿宋_GB2312"/>
          <w:color w:val="auto"/>
          <w:sz w:val="32"/>
          <w:szCs w:val="32"/>
        </w:rPr>
        <w:t>项目</w:t>
      </w:r>
      <w:r>
        <w:rPr>
          <w:rFonts w:eastAsia="仿宋_GB2312"/>
          <w:color w:val="auto"/>
          <w:spacing w:val="17"/>
          <w:sz w:val="32"/>
          <w:szCs w:val="32"/>
        </w:rPr>
        <w:t>的开展情况、项目产出数量、成本控制、资金拨付文件及自评报告等相关资料的收集和审核，综合分析各因素对绩效目标实现的影响。</w:t>
      </w:r>
    </w:p>
    <w:p>
      <w:pPr>
        <w:pStyle w:val="20"/>
        <w:widowControl w:val="0"/>
        <w:spacing w:before="0" w:after="0" w:line="600" w:lineRule="exact"/>
        <w:ind w:firstLine="640" w:firstLineChars="200"/>
        <w:jc w:val="both"/>
        <w:outlineLvl w:val="9"/>
        <w:rPr>
          <w:rFonts w:ascii="Times New Roman" w:hAnsi="Times New Roman" w:eastAsia="仿宋_GB2312"/>
          <w:b w:val="0"/>
          <w:bCs w:val="0"/>
          <w:color w:val="auto"/>
        </w:rPr>
      </w:pPr>
      <w:r>
        <w:rPr>
          <w:rFonts w:ascii="Times New Roman" w:hAnsi="Times New Roman" w:eastAsia="仿宋_GB2312"/>
          <w:b w:val="0"/>
          <w:bCs w:val="0"/>
          <w:color w:val="auto"/>
        </w:rPr>
        <w:t>4、评价标准</w:t>
      </w:r>
    </w:p>
    <w:p>
      <w:pPr>
        <w:spacing w:line="600" w:lineRule="exact"/>
        <w:ind w:firstLine="708" w:firstLineChars="200"/>
        <w:rPr>
          <w:rFonts w:eastAsia="仿宋_GB2312"/>
          <w:color w:val="auto"/>
          <w:spacing w:val="17"/>
          <w:sz w:val="32"/>
          <w:szCs w:val="32"/>
        </w:rPr>
      </w:pPr>
      <w:r>
        <w:rPr>
          <w:rFonts w:eastAsia="仿宋_GB2312"/>
          <w:color w:val="auto"/>
          <w:spacing w:val="17"/>
          <w:sz w:val="32"/>
          <w:szCs w:val="32"/>
        </w:rPr>
        <w:t>绩效评价标准通常包括计划标准、行业标准、历史标准等，用于对绩效指标完成情况进行比较。本次评价主要采用了计划标准和行业标准。</w:t>
      </w:r>
    </w:p>
    <w:p>
      <w:pPr>
        <w:pStyle w:val="20"/>
        <w:numPr>
          <w:ilvl w:val="0"/>
          <w:numId w:val="4"/>
        </w:numPr>
        <w:spacing w:before="0" w:after="0" w:line="600" w:lineRule="exact"/>
        <w:ind w:firstLine="710" w:firstLineChars="200"/>
        <w:jc w:val="both"/>
        <w:rPr>
          <w:rFonts w:ascii="楷体" w:hAnsi="楷体" w:eastAsia="楷体" w:cs="楷体"/>
          <w:color w:val="auto"/>
          <w:spacing w:val="17"/>
        </w:rPr>
      </w:pPr>
      <w:r>
        <w:rPr>
          <w:rFonts w:hint="eastAsia" w:ascii="楷体" w:hAnsi="楷体" w:eastAsia="楷体" w:cs="楷体"/>
          <w:color w:val="auto"/>
          <w:spacing w:val="17"/>
        </w:rPr>
        <w:t>绩效评价工作过程</w:t>
      </w:r>
    </w:p>
    <w:p>
      <w:pPr>
        <w:numPr>
          <w:ilvl w:val="0"/>
          <w:numId w:val="5"/>
        </w:numPr>
        <w:spacing w:line="600" w:lineRule="exact"/>
        <w:ind w:firstLine="640" w:firstLineChars="200"/>
        <w:rPr>
          <w:rFonts w:eastAsia="仿宋_GB2312"/>
          <w:bCs/>
          <w:color w:val="auto"/>
          <w:sz w:val="32"/>
          <w:szCs w:val="32"/>
        </w:rPr>
      </w:pPr>
      <w:r>
        <w:rPr>
          <w:rFonts w:hint="eastAsia" w:eastAsia="仿宋_GB2312"/>
          <w:bCs/>
          <w:color w:val="auto"/>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5"/>
        </w:numPr>
        <w:spacing w:line="600" w:lineRule="exact"/>
        <w:ind w:firstLine="640" w:firstLineChars="200"/>
        <w:rPr>
          <w:rFonts w:eastAsia="仿宋_GB2312"/>
          <w:bCs/>
          <w:color w:val="auto"/>
          <w:sz w:val="32"/>
          <w:szCs w:val="32"/>
        </w:rPr>
      </w:pPr>
      <w:r>
        <w:rPr>
          <w:rFonts w:hint="eastAsia" w:eastAsia="仿宋_GB2312"/>
          <w:bCs/>
          <w:color w:val="auto"/>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5"/>
        </w:numPr>
        <w:spacing w:line="600" w:lineRule="exact"/>
        <w:ind w:firstLine="640" w:firstLineChars="200"/>
        <w:rPr>
          <w:color w:val="auto"/>
          <w:sz w:val="32"/>
          <w:szCs w:val="32"/>
        </w:rPr>
      </w:pPr>
      <w:r>
        <w:rPr>
          <w:rFonts w:hint="eastAsia" w:eastAsia="仿宋_GB2312"/>
          <w:bCs/>
          <w:color w:val="auto"/>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6"/>
        </w:numPr>
        <w:spacing w:line="600" w:lineRule="exact"/>
        <w:ind w:firstLine="640" w:firstLineChars="200"/>
        <w:rPr>
          <w:rFonts w:eastAsia="黑体"/>
          <w:color w:val="auto"/>
          <w:sz w:val="32"/>
          <w:szCs w:val="32"/>
        </w:rPr>
      </w:pPr>
      <w:r>
        <w:rPr>
          <w:rFonts w:eastAsia="黑体"/>
          <w:color w:val="auto"/>
          <w:sz w:val="32"/>
          <w:szCs w:val="32"/>
        </w:rPr>
        <w:t>综合评价情况及评价结论（附相关评分表）</w:t>
      </w:r>
    </w:p>
    <w:p>
      <w:pPr>
        <w:pStyle w:val="20"/>
        <w:widowControl w:val="0"/>
        <w:spacing w:before="0" w:after="0" w:line="600" w:lineRule="exact"/>
        <w:ind w:firstLine="640" w:firstLineChars="200"/>
        <w:jc w:val="both"/>
        <w:outlineLvl w:val="9"/>
        <w:rPr>
          <w:rFonts w:ascii="Times New Roman" w:hAnsi="Times New Roman" w:eastAsia="仿宋_GB2312"/>
          <w:color w:val="auto"/>
          <w:sz w:val="30"/>
          <w:szCs w:val="30"/>
        </w:rPr>
      </w:pPr>
      <w:r>
        <w:rPr>
          <w:rFonts w:ascii="Times New Roman" w:hAnsi="Times New Roman" w:eastAsia="仿宋_GB2312"/>
          <w:b w:val="0"/>
          <w:bCs w:val="0"/>
          <w:color w:val="auto"/>
        </w:rPr>
        <w:t>对</w:t>
      </w:r>
      <w:r>
        <w:rPr>
          <w:rFonts w:hint="eastAsia" w:ascii="Times New Roman" w:hAnsi="Times New Roman" w:eastAsia="仿宋_GB2312"/>
          <w:b w:val="0"/>
          <w:bCs w:val="0"/>
          <w:color w:val="auto"/>
        </w:rPr>
        <w:t>创新环境建设青年自然科学基金（自有资金）</w:t>
      </w:r>
      <w:r>
        <w:rPr>
          <w:rFonts w:ascii="Times New Roman" w:hAnsi="Times New Roman" w:eastAsia="仿宋_GB2312"/>
          <w:b w:val="0"/>
          <w:bCs w:val="0"/>
          <w:color w:val="auto"/>
        </w:rPr>
        <w:t>项目进行客观评价，最终评分结果：</w:t>
      </w:r>
      <w:r>
        <w:rPr>
          <w:rFonts w:ascii="Times New Roman" w:hAnsi="Times New Roman" w:eastAsia="仿宋_GB2312"/>
          <w:b w:val="0"/>
          <w:bCs w:val="0"/>
          <w:color w:val="auto"/>
          <w:highlight w:val="none"/>
        </w:rPr>
        <w:t>总得分为</w:t>
      </w:r>
      <w:r>
        <w:rPr>
          <w:rFonts w:hint="eastAsia" w:ascii="Times New Roman" w:hAnsi="Times New Roman" w:eastAsia="仿宋_GB2312"/>
          <w:b w:val="0"/>
          <w:bCs w:val="0"/>
          <w:color w:val="auto"/>
          <w:highlight w:val="none"/>
          <w:lang w:val="en-US" w:eastAsia="zh-CN"/>
        </w:rPr>
        <w:t>98</w:t>
      </w:r>
      <w:r>
        <w:rPr>
          <w:rFonts w:ascii="Times New Roman" w:hAnsi="Times New Roman" w:eastAsia="仿宋_GB2312"/>
          <w:b w:val="0"/>
          <w:bCs w:val="0"/>
          <w:color w:val="auto"/>
          <w:highlight w:val="none"/>
        </w:rPr>
        <w:t>分，属于“优”。其中，项目决策类指标权重为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w:t>
      </w:r>
      <w:r>
        <w:rPr>
          <w:rFonts w:ascii="Times New Roman" w:hAnsi="Times New Roman" w:eastAsia="仿宋_GB2312"/>
          <w:b w:val="0"/>
          <w:bCs w:val="0"/>
          <w:color w:val="auto"/>
          <w:highlight w:val="none"/>
        </w:rPr>
        <w:t>分为</w:t>
      </w:r>
      <w:r>
        <w:rPr>
          <w:rFonts w:hint="default"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 xml:space="preserve">分，得分率为 </w:t>
      </w:r>
      <w:r>
        <w:rPr>
          <w:rFonts w:hint="default" w:ascii="Times New Roman" w:hAnsi="Times New Roman" w:eastAsia="仿宋_GB2312"/>
          <w:b w:val="0"/>
          <w:bCs w:val="0"/>
          <w:color w:val="auto"/>
          <w:highlight w:val="none"/>
        </w:rPr>
        <w:t>100</w:t>
      </w:r>
      <w:r>
        <w:rPr>
          <w:rFonts w:ascii="Times New Roman" w:hAnsi="Times New Roman" w:eastAsia="仿宋_GB2312"/>
          <w:b w:val="0"/>
          <w:bCs w:val="0"/>
          <w:color w:val="auto"/>
          <w:highlight w:val="none"/>
        </w:rPr>
        <w:t>%。</w:t>
      </w:r>
      <w:r>
        <w:rPr>
          <w:rFonts w:ascii="Times New Roman" w:hAnsi="Times New Roman" w:eastAsia="仿宋_GB2312"/>
          <w:b w:val="0"/>
          <w:bCs w:val="0"/>
          <w:color w:val="auto"/>
          <w:highlight w:val="none"/>
        </w:rPr>
        <w:t>项目过程类指标权重为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18</w:t>
      </w:r>
      <w:r>
        <w:rPr>
          <w:rFonts w:ascii="Times New Roman" w:hAnsi="Times New Roman" w:eastAsia="仿宋_GB2312"/>
          <w:b w:val="0"/>
          <w:bCs w:val="0"/>
          <w:color w:val="auto"/>
          <w:highlight w:val="none"/>
        </w:rPr>
        <w:t xml:space="preserve">分，得分率为 </w:t>
      </w:r>
      <w:r>
        <w:rPr>
          <w:rFonts w:hint="eastAsia" w:ascii="Times New Roman" w:hAnsi="Times New Roman" w:eastAsia="仿宋_GB2312"/>
          <w:b w:val="0"/>
          <w:bCs w:val="0"/>
          <w:color w:val="auto"/>
          <w:highlight w:val="none"/>
          <w:lang w:val="en-US" w:eastAsia="zh-CN"/>
        </w:rPr>
        <w:t>90</w:t>
      </w:r>
      <w:r>
        <w:rPr>
          <w:rFonts w:ascii="Times New Roman" w:hAnsi="Times New Roman" w:eastAsia="仿宋_GB2312"/>
          <w:b w:val="0"/>
          <w:bCs w:val="0"/>
          <w:color w:val="auto"/>
          <w:highlight w:val="none"/>
        </w:rPr>
        <w:t>%。项目产出类指标权重为</w:t>
      </w:r>
      <w:r>
        <w:rPr>
          <w:rFonts w:hint="eastAsia" w:ascii="Times New Roman" w:hAnsi="Times New Roman" w:eastAsia="仿宋_GB2312"/>
          <w:b w:val="0"/>
          <w:bCs w:val="0"/>
          <w:color w:val="auto"/>
          <w:highlight w:val="none"/>
        </w:rPr>
        <w:t>40</w:t>
      </w:r>
      <w:r>
        <w:rPr>
          <w:rFonts w:ascii="Times New Roman" w:hAnsi="Times New Roman" w:eastAsia="仿宋_GB2312"/>
          <w:b w:val="0"/>
          <w:bCs w:val="0"/>
          <w:color w:val="auto"/>
          <w:highlight w:val="none"/>
        </w:rPr>
        <w:t>分，得分为</w:t>
      </w:r>
      <w:r>
        <w:rPr>
          <w:rFonts w:hint="default" w:ascii="Times New Roman" w:hAnsi="Times New Roman" w:eastAsia="仿宋_GB2312"/>
          <w:b w:val="0"/>
          <w:bCs w:val="0"/>
          <w:color w:val="auto"/>
          <w:highlight w:val="none"/>
        </w:rPr>
        <w:t>40</w:t>
      </w:r>
      <w:r>
        <w:rPr>
          <w:rFonts w:ascii="Times New Roman" w:hAnsi="Times New Roman" w:eastAsia="仿宋_GB2312"/>
          <w:b w:val="0"/>
          <w:bCs w:val="0"/>
          <w:color w:val="auto"/>
          <w:highlight w:val="none"/>
        </w:rPr>
        <w:t xml:space="preserve">分，得分率为 </w:t>
      </w:r>
      <w:r>
        <w:rPr>
          <w:rFonts w:hint="default" w:ascii="Times New Roman" w:hAnsi="Times New Roman" w:eastAsia="仿宋_GB2312"/>
          <w:b w:val="0"/>
          <w:bCs w:val="0"/>
          <w:color w:val="auto"/>
          <w:highlight w:val="none"/>
        </w:rPr>
        <w:t>100</w:t>
      </w:r>
      <w:r>
        <w:rPr>
          <w:rFonts w:ascii="Times New Roman" w:hAnsi="Times New Roman" w:eastAsia="仿宋_GB2312"/>
          <w:b w:val="0"/>
          <w:bCs w:val="0"/>
          <w:color w:val="auto"/>
          <w:highlight w:val="none"/>
        </w:rPr>
        <w:t>%</w:t>
      </w:r>
      <w:r>
        <w:rPr>
          <w:rFonts w:ascii="Times New Roman" w:hAnsi="Times New Roman" w:eastAsia="仿宋_GB2312"/>
          <w:b w:val="0"/>
          <w:bCs w:val="0"/>
          <w:color w:val="auto"/>
          <w:highlight w:val="none"/>
        </w:rPr>
        <w:t>。项目效益类指标权重为</w:t>
      </w:r>
      <w:r>
        <w:rPr>
          <w:rFonts w:hint="eastAsia" w:ascii="Times New Roman" w:hAnsi="Times New Roman" w:eastAsia="仿宋_GB2312"/>
          <w:b w:val="0"/>
          <w:bCs w:val="0"/>
          <w:color w:val="auto"/>
          <w:highlight w:val="none"/>
        </w:rPr>
        <w:t>20</w:t>
      </w:r>
      <w:r>
        <w:rPr>
          <w:rFonts w:ascii="Times New Roman" w:hAnsi="Times New Roman" w:eastAsia="仿宋_GB2312"/>
          <w:b w:val="0"/>
          <w:bCs w:val="0"/>
          <w:color w:val="auto"/>
          <w:highlight w:val="none"/>
        </w:rPr>
        <w:t>分，得分为</w:t>
      </w:r>
      <w:r>
        <w:rPr>
          <w:rFonts w:hint="eastAsia" w:ascii="Times New Roman" w:hAnsi="Times New Roman" w:eastAsia="仿宋_GB2312"/>
          <w:b w:val="0"/>
          <w:bCs w:val="0"/>
          <w:color w:val="auto"/>
          <w:highlight w:val="none"/>
          <w:lang w:val="en-US" w:eastAsia="zh-CN"/>
        </w:rPr>
        <w:t>20</w:t>
      </w:r>
      <w:r>
        <w:rPr>
          <w:rFonts w:ascii="Times New Roman" w:hAnsi="Times New Roman" w:eastAsia="仿宋_GB2312"/>
          <w:b w:val="0"/>
          <w:bCs w:val="0"/>
          <w:color w:val="auto"/>
          <w:highlight w:val="none"/>
        </w:rPr>
        <w:t>分，得分率为</w:t>
      </w:r>
      <w:r>
        <w:rPr>
          <w:rFonts w:hint="eastAsia" w:ascii="Times New Roman" w:hAnsi="Times New Roman" w:eastAsia="仿宋_GB2312"/>
          <w:b w:val="0"/>
          <w:bCs w:val="0"/>
          <w:color w:val="auto"/>
          <w:highlight w:val="none"/>
          <w:lang w:val="en-US" w:eastAsia="zh-CN"/>
        </w:rPr>
        <w:t>100</w:t>
      </w:r>
      <w:r>
        <w:rPr>
          <w:rFonts w:ascii="Times New Roman" w:hAnsi="Times New Roman" w:eastAsia="仿宋_GB2312"/>
          <w:b w:val="0"/>
          <w:bCs w:val="0"/>
          <w:color w:val="auto"/>
          <w:highlight w:val="none"/>
        </w:rPr>
        <w:t>%。</w:t>
      </w:r>
    </w:p>
    <w:p>
      <w:pPr>
        <w:pStyle w:val="20"/>
        <w:rPr>
          <w:rFonts w:ascii="Times New Roman" w:hAnsi="Times New Roman" w:eastAsia="仿宋_GB2312"/>
          <w:color w:val="auto"/>
          <w:sz w:val="30"/>
          <w:szCs w:val="30"/>
        </w:rPr>
      </w:pPr>
      <w:r>
        <w:rPr>
          <w:rFonts w:ascii="Times New Roman" w:hAnsi="Times New Roman" w:eastAsia="仿宋_GB2312"/>
          <w:color w:val="auto"/>
          <w:sz w:val="30"/>
          <w:szCs w:val="30"/>
        </w:rPr>
        <w:t>表1综合评分表</w:t>
      </w:r>
    </w:p>
    <w:p>
      <w:pPr>
        <w:rPr>
          <w:color w:val="auto"/>
        </w:rPr>
      </w:pPr>
    </w:p>
    <w:p>
      <w:pPr>
        <w:rPr>
          <w:color w:val="auto"/>
        </w:rPr>
      </w:pPr>
    </w:p>
    <w:tbl>
      <w:tblPr>
        <w:tblStyle w:val="23"/>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auto"/>
                <w:kern w:val="0"/>
                <w:sz w:val="22"/>
                <w:szCs w:val="22"/>
              </w:rPr>
            </w:pPr>
            <w:r>
              <w:rPr>
                <w:b/>
                <w:bCs/>
                <w:color w:val="auto"/>
                <w:kern w:val="0"/>
                <w:sz w:val="22"/>
                <w:szCs w:val="22"/>
              </w:rPr>
              <w:t>一级指标</w:t>
            </w:r>
          </w:p>
        </w:tc>
        <w:tc>
          <w:tcPr>
            <w:tcW w:w="990"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分值</w:t>
            </w:r>
          </w:p>
        </w:tc>
        <w:tc>
          <w:tcPr>
            <w:tcW w:w="1283"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二级指标</w:t>
            </w:r>
          </w:p>
        </w:tc>
        <w:tc>
          <w:tcPr>
            <w:tcW w:w="1707"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三级指标</w:t>
            </w:r>
          </w:p>
        </w:tc>
        <w:tc>
          <w:tcPr>
            <w:tcW w:w="727" w:type="dxa"/>
            <w:shd w:val="clear" w:color="auto" w:fill="BFBFBF"/>
            <w:vAlign w:val="center"/>
          </w:tcPr>
          <w:p>
            <w:pPr>
              <w:widowControl/>
              <w:spacing w:line="0" w:lineRule="atLeast"/>
              <w:jc w:val="center"/>
              <w:rPr>
                <w:b/>
                <w:bCs/>
                <w:color w:val="auto"/>
                <w:kern w:val="0"/>
                <w:sz w:val="22"/>
                <w:szCs w:val="22"/>
              </w:rPr>
            </w:pPr>
            <w:r>
              <w:rPr>
                <w:b/>
                <w:bCs/>
                <w:color w:val="auto"/>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auto"/>
                <w:kern w:val="0"/>
                <w:sz w:val="22"/>
                <w:szCs w:val="22"/>
              </w:rPr>
            </w:pPr>
            <w:r>
              <w:rPr>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决策　</w:t>
            </w:r>
          </w:p>
          <w:p>
            <w:pPr>
              <w:widowControl/>
              <w:spacing w:line="0" w:lineRule="atLeast"/>
              <w:jc w:val="center"/>
              <w:rPr>
                <w:color w:val="auto"/>
                <w:kern w:val="0"/>
                <w:sz w:val="22"/>
                <w:szCs w:val="22"/>
              </w:rPr>
            </w:pPr>
            <w:r>
              <w:rPr>
                <w:color w:val="auto"/>
                <w:kern w:val="0"/>
                <w:sz w:val="22"/>
                <w:szCs w:val="22"/>
              </w:rPr>
              <w:t>　</w:t>
            </w:r>
          </w:p>
          <w:p>
            <w:pPr>
              <w:spacing w:line="0" w:lineRule="atLeast"/>
              <w:jc w:val="center"/>
              <w:rPr>
                <w:color w:val="auto"/>
                <w:kern w:val="0"/>
                <w:sz w:val="22"/>
                <w:szCs w:val="22"/>
              </w:rPr>
            </w:pPr>
            <w:r>
              <w:rPr>
                <w:color w:val="auto"/>
                <w:kern w:val="0"/>
                <w:sz w:val="22"/>
                <w:szCs w:val="22"/>
              </w:rPr>
              <w:t>　</w:t>
            </w:r>
          </w:p>
          <w:p>
            <w:pPr>
              <w:widowControl/>
              <w:spacing w:line="0" w:lineRule="atLeast"/>
              <w:jc w:val="center"/>
              <w:rPr>
                <w:color w:val="auto"/>
                <w:kern w:val="0"/>
                <w:sz w:val="22"/>
                <w:szCs w:val="22"/>
              </w:rPr>
            </w:pPr>
            <w:r>
              <w:rPr>
                <w:color w:val="auto"/>
                <w:kern w:val="0"/>
                <w:sz w:val="22"/>
                <w:szCs w:val="22"/>
              </w:rPr>
              <w:t>　</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20</w:t>
            </w:r>
            <w:r>
              <w:rPr>
                <w:color w:val="auto"/>
                <w:kern w:val="0"/>
                <w:sz w:val="22"/>
                <w:szCs w:val="22"/>
              </w:rPr>
              <w:t>分</w:t>
            </w: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项目立项　</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立项依据</w:t>
            </w:r>
          </w:p>
          <w:p>
            <w:pPr>
              <w:widowControl/>
              <w:spacing w:line="0" w:lineRule="atLeast"/>
              <w:jc w:val="center"/>
              <w:rPr>
                <w:color w:val="auto"/>
                <w:kern w:val="0"/>
                <w:sz w:val="22"/>
                <w:szCs w:val="22"/>
              </w:rPr>
            </w:pPr>
            <w:r>
              <w:rPr>
                <w:color w:val="auto"/>
                <w:kern w:val="0"/>
                <w:sz w:val="22"/>
                <w:szCs w:val="22"/>
              </w:rPr>
              <w:t>充分性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充分</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充分</w:t>
            </w:r>
          </w:p>
        </w:tc>
        <w:tc>
          <w:tcPr>
            <w:tcW w:w="1215" w:type="dxa"/>
            <w:shd w:val="clear" w:color="auto" w:fill="FFFFFF"/>
            <w:vAlign w:val="center"/>
          </w:tcPr>
          <w:p>
            <w:pPr>
              <w:widowControl/>
              <w:spacing w:line="0" w:lineRule="atLeast"/>
              <w:jc w:val="center"/>
              <w:rPr>
                <w:color w:val="auto"/>
                <w:kern w:val="0"/>
                <w:sz w:val="22"/>
                <w:szCs w:val="22"/>
                <w:highlight w:val="yellow"/>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color w:val="auto"/>
                <w:kern w:val="0"/>
                <w:sz w:val="22"/>
                <w:szCs w:val="22"/>
                <w:highlight w:val="yellow"/>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立项程序</w:t>
            </w:r>
          </w:p>
          <w:p>
            <w:pPr>
              <w:widowControl/>
              <w:spacing w:line="0" w:lineRule="atLeast"/>
              <w:jc w:val="center"/>
              <w:rPr>
                <w:color w:val="auto"/>
                <w:kern w:val="0"/>
                <w:sz w:val="22"/>
                <w:szCs w:val="22"/>
              </w:rPr>
            </w:pPr>
            <w:r>
              <w:rPr>
                <w:color w:val="auto"/>
                <w:kern w:val="0"/>
                <w:sz w:val="22"/>
                <w:szCs w:val="22"/>
              </w:rPr>
              <w:t>规范性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规范</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规范</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　</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p>
            <w:pPr>
              <w:widowControl/>
              <w:spacing w:line="0" w:lineRule="atLeast"/>
              <w:jc w:val="center"/>
              <w:rPr>
                <w:color w:val="auto"/>
                <w:kern w:val="0"/>
                <w:sz w:val="22"/>
                <w:szCs w:val="22"/>
              </w:rPr>
            </w:pPr>
            <w:r>
              <w:rPr>
                <w:color w:val="auto"/>
                <w:kern w:val="0"/>
                <w:sz w:val="22"/>
                <w:szCs w:val="22"/>
              </w:rPr>
              <w:t>合理性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合理</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合理</w:t>
            </w:r>
          </w:p>
        </w:tc>
        <w:tc>
          <w:tcPr>
            <w:tcW w:w="1215" w:type="dxa"/>
            <w:shd w:val="clear" w:color="000000" w:fill="FFFFFF"/>
            <w:vAlign w:val="center"/>
          </w:tcPr>
          <w:p>
            <w:pPr>
              <w:widowControl/>
              <w:spacing w:line="0" w:lineRule="atLeast"/>
              <w:jc w:val="center"/>
              <w:rPr>
                <w:color w:val="auto"/>
                <w:kern w:val="0"/>
                <w:sz w:val="22"/>
                <w:szCs w:val="22"/>
              </w:rPr>
            </w:pPr>
            <w:r>
              <w:rPr>
                <w:rFonts w:hint="default"/>
                <w:color w:val="auto"/>
                <w:kern w:val="0"/>
                <w:sz w:val="22"/>
                <w:szCs w:val="22"/>
                <w:highlight w:val="none"/>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default"/>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绩效指标</w:t>
            </w:r>
          </w:p>
          <w:p>
            <w:pPr>
              <w:widowControl/>
              <w:spacing w:line="0" w:lineRule="atLeast"/>
              <w:jc w:val="center"/>
              <w:rPr>
                <w:color w:val="auto"/>
                <w:kern w:val="0"/>
                <w:sz w:val="22"/>
                <w:szCs w:val="22"/>
              </w:rPr>
            </w:pPr>
            <w:r>
              <w:rPr>
                <w:color w:val="auto"/>
                <w:kern w:val="0"/>
                <w:sz w:val="22"/>
                <w:szCs w:val="22"/>
              </w:rPr>
              <w:t>明确性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3</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明确</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明确</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资金投入</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预算编制</w:t>
            </w:r>
          </w:p>
          <w:p>
            <w:pPr>
              <w:widowControl/>
              <w:spacing w:line="0" w:lineRule="atLeast"/>
              <w:jc w:val="center"/>
              <w:rPr>
                <w:color w:val="auto"/>
                <w:kern w:val="0"/>
                <w:sz w:val="22"/>
                <w:szCs w:val="22"/>
              </w:rPr>
            </w:pPr>
            <w:r>
              <w:rPr>
                <w:color w:val="auto"/>
                <w:kern w:val="0"/>
                <w:sz w:val="22"/>
                <w:szCs w:val="22"/>
              </w:rPr>
              <w:t>科学性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4</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科学</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科学</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资金分配</w:t>
            </w:r>
          </w:p>
          <w:p>
            <w:pPr>
              <w:widowControl/>
              <w:spacing w:line="0" w:lineRule="atLeast"/>
              <w:jc w:val="center"/>
              <w:rPr>
                <w:color w:val="auto"/>
                <w:kern w:val="0"/>
                <w:sz w:val="22"/>
                <w:szCs w:val="22"/>
              </w:rPr>
            </w:pPr>
            <w:r>
              <w:rPr>
                <w:color w:val="auto"/>
                <w:kern w:val="0"/>
                <w:sz w:val="22"/>
                <w:szCs w:val="22"/>
              </w:rPr>
              <w:t>合理性</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3</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合理</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合理</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auto"/>
                <w:kern w:val="0"/>
                <w:sz w:val="22"/>
                <w:szCs w:val="22"/>
              </w:rPr>
            </w:pPr>
            <w:r>
              <w:rPr>
                <w:color w:val="auto"/>
                <w:kern w:val="0"/>
                <w:sz w:val="22"/>
                <w:szCs w:val="22"/>
              </w:rPr>
              <w:t>过程</w:t>
            </w:r>
          </w:p>
          <w:p>
            <w:pPr>
              <w:spacing w:line="0" w:lineRule="atLeast"/>
              <w:jc w:val="center"/>
              <w:rPr>
                <w:color w:val="auto"/>
                <w:kern w:val="0"/>
                <w:sz w:val="22"/>
                <w:szCs w:val="22"/>
              </w:rPr>
            </w:pPr>
            <w:r>
              <w:rPr>
                <w:color w:val="auto"/>
                <w:kern w:val="0"/>
                <w:sz w:val="22"/>
                <w:szCs w:val="22"/>
              </w:rPr>
              <w:t>　</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20</w:t>
            </w:r>
            <w:r>
              <w:rPr>
                <w:color w:val="auto"/>
                <w:kern w:val="0"/>
                <w:sz w:val="22"/>
                <w:szCs w:val="22"/>
              </w:rPr>
              <w:t>分</w:t>
            </w: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资金到位率</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yellow"/>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vMerge w:val="continue"/>
            <w:shd w:val="clear" w:color="auto" w:fill="FFFFFF"/>
            <w:vAlign w:val="center"/>
          </w:tcPr>
          <w:p>
            <w:pPr>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预算执行率</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4</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100%</w:t>
            </w:r>
          </w:p>
        </w:tc>
        <w:tc>
          <w:tcPr>
            <w:tcW w:w="924" w:type="dxa"/>
            <w:shd w:val="clear" w:color="auto" w:fill="FFFFFF"/>
            <w:vAlign w:val="center"/>
          </w:tcPr>
          <w:p>
            <w:pPr>
              <w:widowControl/>
              <w:spacing w:line="0" w:lineRule="atLeast"/>
              <w:jc w:val="center"/>
              <w:rPr>
                <w:color w:val="auto"/>
                <w:kern w:val="0"/>
                <w:sz w:val="22"/>
                <w:szCs w:val="22"/>
                <w:highlight w:val="yellow"/>
              </w:rPr>
            </w:pPr>
            <w:r>
              <w:rPr>
                <w:rFonts w:hint="eastAsia"/>
                <w:color w:val="auto"/>
                <w:kern w:val="0"/>
                <w:sz w:val="22"/>
                <w:szCs w:val="22"/>
                <w:highlight w:val="none"/>
                <w:lang w:val="en-US" w:eastAsia="zh-CN"/>
              </w:rPr>
              <w:t>67.5</w:t>
            </w:r>
            <w:r>
              <w:rPr>
                <w:color w:val="auto"/>
                <w:kern w:val="0"/>
                <w:sz w:val="22"/>
                <w:szCs w:val="22"/>
                <w:highlight w:val="none"/>
              </w:rPr>
              <w:t>%</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50</w:t>
            </w:r>
            <w:r>
              <w:rPr>
                <w:color w:val="auto"/>
                <w:kern w:val="0"/>
                <w:sz w:val="22"/>
                <w:szCs w:val="22"/>
                <w:highlight w:val="none"/>
              </w:rPr>
              <w:t>%</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资金使用</w:t>
            </w:r>
          </w:p>
          <w:p>
            <w:pPr>
              <w:widowControl/>
              <w:spacing w:line="0" w:lineRule="atLeast"/>
              <w:jc w:val="center"/>
              <w:rPr>
                <w:color w:val="auto"/>
                <w:kern w:val="0"/>
                <w:sz w:val="22"/>
                <w:szCs w:val="22"/>
              </w:rPr>
            </w:pPr>
            <w:r>
              <w:rPr>
                <w:color w:val="auto"/>
                <w:kern w:val="0"/>
                <w:sz w:val="22"/>
                <w:szCs w:val="22"/>
              </w:rPr>
              <w:t>合规性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合格</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合格</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组织实施</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管理制度</w:t>
            </w:r>
          </w:p>
          <w:p>
            <w:pPr>
              <w:widowControl/>
              <w:spacing w:line="0" w:lineRule="atLeast"/>
              <w:jc w:val="center"/>
              <w:rPr>
                <w:color w:val="auto"/>
                <w:kern w:val="0"/>
                <w:sz w:val="22"/>
                <w:szCs w:val="22"/>
              </w:rPr>
            </w:pPr>
            <w:r>
              <w:rPr>
                <w:color w:val="auto"/>
                <w:kern w:val="0"/>
                <w:sz w:val="22"/>
                <w:szCs w:val="22"/>
              </w:rPr>
              <w:t>健全性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健全</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健全</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制度执行</w:t>
            </w:r>
          </w:p>
          <w:p>
            <w:pPr>
              <w:widowControl/>
              <w:spacing w:line="0" w:lineRule="atLeast"/>
              <w:jc w:val="center"/>
              <w:rPr>
                <w:color w:val="auto"/>
                <w:kern w:val="0"/>
                <w:sz w:val="22"/>
                <w:szCs w:val="22"/>
              </w:rPr>
            </w:pPr>
            <w:r>
              <w:rPr>
                <w:color w:val="auto"/>
                <w:kern w:val="0"/>
                <w:sz w:val="22"/>
                <w:szCs w:val="22"/>
              </w:rPr>
              <w:t>有效性</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4</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有效</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有效</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产出</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40</w:t>
            </w:r>
            <w:r>
              <w:rPr>
                <w:color w:val="auto"/>
                <w:kern w:val="0"/>
                <w:sz w:val="22"/>
                <w:szCs w:val="22"/>
              </w:rPr>
              <w:t>分</w:t>
            </w: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产出数量</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实际完成率</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yellow"/>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产出质量</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质量达标率</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highlight w:val="yellow"/>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auto"/>
                <w:kern w:val="0"/>
                <w:sz w:val="22"/>
                <w:szCs w:val="22"/>
              </w:rPr>
            </w:pPr>
          </w:p>
        </w:tc>
        <w:tc>
          <w:tcPr>
            <w:tcW w:w="990" w:type="dxa"/>
            <w:vMerge w:val="continue"/>
            <w:shd w:val="clear" w:color="auto" w:fill="FFFFFF"/>
            <w:vAlign w:val="center"/>
          </w:tcPr>
          <w:p>
            <w:pPr>
              <w:spacing w:line="0" w:lineRule="atLeast"/>
              <w:jc w:val="center"/>
              <w:rPr>
                <w:color w:val="auto"/>
                <w:kern w:val="0"/>
                <w:sz w:val="22"/>
                <w:szCs w:val="22"/>
              </w:rPr>
            </w:pPr>
          </w:p>
        </w:tc>
        <w:tc>
          <w:tcPr>
            <w:tcW w:w="1283" w:type="dxa"/>
            <w:shd w:val="clear" w:color="auto" w:fill="FFFFFF"/>
            <w:vAlign w:val="center"/>
          </w:tcPr>
          <w:p>
            <w:pPr>
              <w:spacing w:line="0" w:lineRule="atLeast"/>
              <w:jc w:val="center"/>
              <w:rPr>
                <w:color w:val="auto"/>
                <w:kern w:val="0"/>
                <w:sz w:val="22"/>
                <w:szCs w:val="22"/>
              </w:rPr>
            </w:pPr>
            <w:r>
              <w:rPr>
                <w:color w:val="auto"/>
                <w:kern w:val="0"/>
                <w:sz w:val="22"/>
                <w:szCs w:val="22"/>
              </w:rPr>
              <w:t>产出时效</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完成及时性</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w:t>
            </w:r>
            <w:r>
              <w:rPr>
                <w:rFonts w:hint="eastAsia"/>
                <w:color w:val="auto"/>
                <w:kern w:val="0"/>
                <w:sz w:val="22"/>
                <w:szCs w:val="22"/>
                <w:highlight w:val="none"/>
              </w:rPr>
              <w:t>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及时</w:t>
            </w:r>
          </w:p>
        </w:tc>
        <w:tc>
          <w:tcPr>
            <w:tcW w:w="92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及时</w:t>
            </w:r>
          </w:p>
        </w:tc>
        <w:tc>
          <w:tcPr>
            <w:tcW w:w="1215" w:type="dxa"/>
            <w:shd w:val="clear" w:color="000000" w:fill="FFFFFF"/>
            <w:vAlign w:val="center"/>
          </w:tcPr>
          <w:p>
            <w:pPr>
              <w:widowControl/>
              <w:spacing w:line="0" w:lineRule="atLeast"/>
              <w:jc w:val="center"/>
              <w:rPr>
                <w:color w:val="auto"/>
                <w:kern w:val="0"/>
                <w:sz w:val="22"/>
                <w:szCs w:val="22"/>
              </w:rPr>
            </w:pPr>
            <w:r>
              <w:rPr>
                <w:rFonts w:hint="default"/>
                <w:color w:val="auto"/>
                <w:kern w:val="0"/>
                <w:sz w:val="22"/>
                <w:szCs w:val="22"/>
                <w:highlight w:val="none"/>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default"/>
                <w:color w:val="auto"/>
                <w:kern w:val="0"/>
                <w:sz w:val="22"/>
                <w:szCs w:val="22"/>
                <w:highlight w:val="none"/>
                <w:lang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产出成本</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成本节约率</w:t>
            </w:r>
          </w:p>
        </w:tc>
        <w:tc>
          <w:tcPr>
            <w:tcW w:w="727"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10</w:t>
            </w:r>
          </w:p>
        </w:tc>
        <w:tc>
          <w:tcPr>
            <w:tcW w:w="1044" w:type="dxa"/>
            <w:shd w:val="clear" w:color="000000" w:fill="FFFFFF"/>
            <w:vAlign w:val="center"/>
          </w:tcPr>
          <w:p>
            <w:pPr>
              <w:widowControl/>
              <w:spacing w:line="0" w:lineRule="atLeast"/>
              <w:jc w:val="center"/>
              <w:rPr>
                <w:color w:val="auto"/>
                <w:kern w:val="0"/>
                <w:sz w:val="22"/>
                <w:szCs w:val="22"/>
              </w:rPr>
            </w:pPr>
            <w:r>
              <w:rPr>
                <w:color w:val="auto"/>
                <w:kern w:val="0"/>
                <w:sz w:val="22"/>
                <w:szCs w:val="22"/>
                <w:highlight w:val="none"/>
              </w:rPr>
              <w:t>100%</w:t>
            </w:r>
          </w:p>
        </w:tc>
        <w:tc>
          <w:tcPr>
            <w:tcW w:w="924"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效益　</w:t>
            </w:r>
          </w:p>
        </w:tc>
        <w:tc>
          <w:tcPr>
            <w:tcW w:w="990" w:type="dxa"/>
            <w:vMerge w:val="restart"/>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rPr>
              <w:t>20</w:t>
            </w:r>
            <w:r>
              <w:rPr>
                <w:color w:val="auto"/>
                <w:kern w:val="0"/>
                <w:sz w:val="22"/>
                <w:szCs w:val="22"/>
              </w:rPr>
              <w:t>分</w:t>
            </w:r>
          </w:p>
        </w:tc>
        <w:tc>
          <w:tcPr>
            <w:tcW w:w="1283"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项目效益　</w:t>
            </w: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实施效益</w:t>
            </w:r>
          </w:p>
          <w:p>
            <w:pPr>
              <w:widowControl/>
              <w:spacing w:line="0" w:lineRule="atLeast"/>
              <w:jc w:val="center"/>
              <w:rPr>
                <w:color w:val="auto"/>
                <w:kern w:val="0"/>
                <w:sz w:val="22"/>
                <w:szCs w:val="22"/>
              </w:rPr>
            </w:pPr>
            <w:r>
              <w:rPr>
                <w:color w:val="auto"/>
                <w:kern w:val="0"/>
                <w:sz w:val="22"/>
                <w:szCs w:val="22"/>
              </w:rPr>
              <w:t>（社会效益、经济效益、可持续效益）</w:t>
            </w:r>
          </w:p>
        </w:tc>
        <w:tc>
          <w:tcPr>
            <w:tcW w:w="727"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15</w:t>
            </w:r>
          </w:p>
        </w:tc>
        <w:tc>
          <w:tcPr>
            <w:tcW w:w="104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有效</w:t>
            </w:r>
          </w:p>
        </w:tc>
        <w:tc>
          <w:tcPr>
            <w:tcW w:w="924" w:type="dxa"/>
            <w:shd w:val="clear" w:color="auto" w:fill="FFFFFF"/>
            <w:vAlign w:val="center"/>
          </w:tcPr>
          <w:p>
            <w:pPr>
              <w:widowControl/>
              <w:spacing w:line="0" w:lineRule="atLeast"/>
              <w:jc w:val="center"/>
              <w:rPr>
                <w:color w:val="auto"/>
                <w:kern w:val="0"/>
                <w:sz w:val="22"/>
                <w:szCs w:val="22"/>
              </w:rPr>
            </w:pPr>
            <w:r>
              <w:rPr>
                <w:color w:val="auto"/>
                <w:kern w:val="0"/>
                <w:sz w:val="22"/>
                <w:szCs w:val="22"/>
                <w:highlight w:val="none"/>
              </w:rPr>
              <w:t>有效</w:t>
            </w:r>
          </w:p>
        </w:tc>
        <w:tc>
          <w:tcPr>
            <w:tcW w:w="1215"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auto"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auto"/>
                <w:kern w:val="0"/>
                <w:sz w:val="22"/>
                <w:szCs w:val="22"/>
              </w:rPr>
            </w:pPr>
          </w:p>
        </w:tc>
        <w:tc>
          <w:tcPr>
            <w:tcW w:w="990" w:type="dxa"/>
            <w:vMerge w:val="continue"/>
            <w:shd w:val="clear" w:color="auto" w:fill="FFFFFF"/>
            <w:vAlign w:val="center"/>
          </w:tcPr>
          <w:p>
            <w:pPr>
              <w:widowControl/>
              <w:spacing w:line="0" w:lineRule="atLeast"/>
              <w:jc w:val="center"/>
              <w:rPr>
                <w:color w:val="auto"/>
                <w:kern w:val="0"/>
                <w:sz w:val="22"/>
                <w:szCs w:val="22"/>
              </w:rPr>
            </w:pPr>
          </w:p>
        </w:tc>
        <w:tc>
          <w:tcPr>
            <w:tcW w:w="1283" w:type="dxa"/>
            <w:vMerge w:val="continue"/>
            <w:shd w:val="clear" w:color="auto" w:fill="FFFFFF"/>
            <w:vAlign w:val="center"/>
          </w:tcPr>
          <w:p>
            <w:pPr>
              <w:widowControl/>
              <w:spacing w:line="0" w:lineRule="atLeast"/>
              <w:jc w:val="center"/>
              <w:rPr>
                <w:color w:val="auto"/>
                <w:kern w:val="0"/>
                <w:sz w:val="22"/>
                <w:szCs w:val="22"/>
              </w:rPr>
            </w:pPr>
          </w:p>
        </w:tc>
        <w:tc>
          <w:tcPr>
            <w:tcW w:w="1707" w:type="dxa"/>
            <w:shd w:val="clear" w:color="auto" w:fill="FFFFFF"/>
            <w:vAlign w:val="center"/>
          </w:tcPr>
          <w:p>
            <w:pPr>
              <w:widowControl/>
              <w:spacing w:line="0" w:lineRule="atLeast"/>
              <w:jc w:val="center"/>
              <w:rPr>
                <w:color w:val="auto"/>
                <w:kern w:val="0"/>
                <w:sz w:val="22"/>
                <w:szCs w:val="22"/>
              </w:rPr>
            </w:pPr>
            <w:r>
              <w:rPr>
                <w:color w:val="auto"/>
                <w:kern w:val="0"/>
                <w:sz w:val="22"/>
                <w:szCs w:val="22"/>
              </w:rPr>
              <w:t>满意度</w:t>
            </w:r>
          </w:p>
        </w:tc>
        <w:tc>
          <w:tcPr>
            <w:tcW w:w="727"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rPr>
              <w:t>5</w:t>
            </w:r>
          </w:p>
        </w:tc>
        <w:tc>
          <w:tcPr>
            <w:tcW w:w="1044" w:type="dxa"/>
            <w:shd w:val="clear" w:color="000000" w:fill="FFFFFF"/>
            <w:vAlign w:val="center"/>
          </w:tcPr>
          <w:p>
            <w:pPr>
              <w:widowControl/>
              <w:spacing w:line="0" w:lineRule="atLeast"/>
              <w:jc w:val="center"/>
              <w:rPr>
                <w:color w:val="auto"/>
                <w:kern w:val="0"/>
                <w:sz w:val="22"/>
                <w:szCs w:val="22"/>
                <w:highlight w:val="yellow"/>
              </w:rPr>
            </w:pPr>
            <w:r>
              <w:rPr>
                <w:color w:val="auto"/>
                <w:kern w:val="0"/>
                <w:sz w:val="22"/>
                <w:szCs w:val="22"/>
                <w:highlight w:val="none"/>
              </w:rPr>
              <w:t>≥</w:t>
            </w:r>
            <w:r>
              <w:rPr>
                <w:rFonts w:hint="eastAsia"/>
                <w:color w:val="auto"/>
                <w:kern w:val="0"/>
                <w:sz w:val="22"/>
                <w:szCs w:val="22"/>
                <w:highlight w:val="none"/>
                <w:lang w:val="en-US" w:eastAsia="zh-CN"/>
              </w:rPr>
              <w:t>90</w:t>
            </w:r>
            <w:r>
              <w:rPr>
                <w:color w:val="auto"/>
                <w:kern w:val="0"/>
                <w:sz w:val="22"/>
                <w:szCs w:val="22"/>
                <w:highlight w:val="none"/>
              </w:rPr>
              <w:t>%</w:t>
            </w:r>
          </w:p>
        </w:tc>
        <w:tc>
          <w:tcPr>
            <w:tcW w:w="924" w:type="dxa"/>
            <w:shd w:val="clear" w:color="000000" w:fill="FFFFFF"/>
            <w:vAlign w:val="center"/>
          </w:tcPr>
          <w:p>
            <w:pPr>
              <w:widowControl/>
              <w:spacing w:line="0" w:lineRule="atLeast"/>
              <w:jc w:val="center"/>
              <w:rPr>
                <w:color w:val="auto"/>
                <w:kern w:val="0"/>
                <w:sz w:val="22"/>
                <w:szCs w:val="22"/>
                <w:highlight w:val="yellow"/>
              </w:rPr>
            </w:pPr>
            <w:r>
              <w:rPr>
                <w:rFonts w:hint="eastAsia"/>
                <w:color w:val="auto"/>
                <w:kern w:val="0"/>
                <w:sz w:val="22"/>
                <w:szCs w:val="22"/>
                <w:highlight w:val="none"/>
                <w:lang w:val="en-US" w:eastAsia="zh-CN"/>
              </w:rPr>
              <w:t>98</w:t>
            </w:r>
            <w:r>
              <w:rPr>
                <w:color w:val="auto"/>
                <w:kern w:val="0"/>
                <w:sz w:val="22"/>
                <w:szCs w:val="22"/>
                <w:highlight w:val="none"/>
              </w:rPr>
              <w:t>%</w:t>
            </w:r>
          </w:p>
        </w:tc>
        <w:tc>
          <w:tcPr>
            <w:tcW w:w="1215"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100</w:t>
            </w:r>
            <w:r>
              <w:rPr>
                <w:color w:val="auto"/>
                <w:kern w:val="0"/>
                <w:sz w:val="22"/>
                <w:szCs w:val="22"/>
                <w:highlight w:val="none"/>
              </w:rPr>
              <w:t>%</w:t>
            </w:r>
          </w:p>
        </w:tc>
        <w:tc>
          <w:tcPr>
            <w:tcW w:w="960" w:type="dxa"/>
            <w:shd w:val="clear" w:color="000000" w:fill="FFFFFF"/>
            <w:vAlign w:val="center"/>
          </w:tcPr>
          <w:p>
            <w:pPr>
              <w:widowControl/>
              <w:spacing w:line="0" w:lineRule="atLeast"/>
              <w:jc w:val="center"/>
              <w:rPr>
                <w:color w:val="auto"/>
                <w:kern w:val="0"/>
                <w:sz w:val="22"/>
                <w:szCs w:val="22"/>
              </w:rPr>
            </w:pPr>
            <w:r>
              <w:rPr>
                <w:rFonts w:hint="eastAsia"/>
                <w:color w:val="auto"/>
                <w:kern w:val="0"/>
                <w:sz w:val="22"/>
                <w:szCs w:val="22"/>
                <w:highlight w:val="none"/>
                <w:lang w:val="en-US" w:eastAsia="zh-CN"/>
              </w:rPr>
              <w:t>5</w:t>
            </w:r>
          </w:p>
        </w:tc>
      </w:tr>
    </w:tbl>
    <w:p>
      <w:pPr>
        <w:spacing w:line="600" w:lineRule="exact"/>
        <w:ind w:firstLine="320" w:firstLineChars="100"/>
        <w:rPr>
          <w:rFonts w:eastAsia="黑体"/>
          <w:color w:val="auto"/>
          <w:sz w:val="32"/>
          <w:szCs w:val="32"/>
        </w:rPr>
      </w:pPr>
      <w:r>
        <w:rPr>
          <w:rFonts w:eastAsia="黑体"/>
          <w:color w:val="auto"/>
          <w:sz w:val="32"/>
          <w:szCs w:val="32"/>
        </w:rPr>
        <w:t>四、绩效评价指标分析</w:t>
      </w:r>
    </w:p>
    <w:p>
      <w:pPr>
        <w:pStyle w:val="20"/>
        <w:ind w:firstLine="321" w:firstLineChars="100"/>
        <w:jc w:val="both"/>
        <w:rPr>
          <w:rFonts w:ascii="Times New Roman" w:hAnsi="Times New Roman" w:eastAsia="楷体_GB2312"/>
          <w:color w:val="auto"/>
        </w:rPr>
      </w:pPr>
      <w:r>
        <w:rPr>
          <w:rFonts w:ascii="Times New Roman" w:hAnsi="Times New Roman" w:eastAsia="楷体_GB2312"/>
          <w:color w:val="auto"/>
        </w:rPr>
        <w:t>（一）项目决策情况</w:t>
      </w:r>
    </w:p>
    <w:p>
      <w:pPr>
        <w:spacing w:line="600" w:lineRule="exact"/>
        <w:ind w:firstLine="640" w:firstLineChars="200"/>
        <w:outlineLvl w:val="0"/>
        <w:rPr>
          <w:color w:val="auto"/>
        </w:rPr>
      </w:pPr>
      <w:r>
        <w:rPr>
          <w:rFonts w:hint="eastAsia" w:ascii="仿宋_GB2312" w:hAnsi="仿宋_GB2312" w:eastAsia="仿宋_GB2312" w:cs="仿宋_GB2312"/>
          <w:color w:val="auto"/>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20"/>
        <w:ind w:firstLine="321" w:firstLineChars="100"/>
        <w:jc w:val="both"/>
        <w:rPr>
          <w:rFonts w:ascii="Times New Roman" w:hAnsi="Times New Roman" w:eastAsia="楷体_GB2312"/>
          <w:color w:val="auto"/>
        </w:rPr>
      </w:pPr>
      <w:r>
        <w:rPr>
          <w:rFonts w:hint="eastAsia" w:ascii="Times New Roman" w:hAnsi="Times New Roman" w:eastAsia="楷体_GB2312"/>
          <w:color w:val="auto"/>
        </w:rPr>
        <w:t>（二）</w:t>
      </w:r>
      <w:r>
        <w:rPr>
          <w:rFonts w:ascii="Times New Roman" w:hAnsi="Times New Roman" w:eastAsia="楷体_GB2312"/>
          <w:color w:val="auto"/>
        </w:rPr>
        <w:t>项目过程情况</w:t>
      </w:r>
    </w:p>
    <w:p>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ind w:firstLine="321" w:firstLineChars="100"/>
        <w:jc w:val="both"/>
        <w:rPr>
          <w:rFonts w:ascii="Times New Roman" w:hAnsi="Times New Roman" w:eastAsia="楷体_GB2312"/>
          <w:color w:val="auto"/>
        </w:rPr>
      </w:pPr>
      <w:r>
        <w:rPr>
          <w:rFonts w:hint="eastAsia" w:ascii="Times New Roman" w:hAnsi="Times New Roman" w:eastAsia="楷体_GB2312"/>
          <w:color w:val="auto"/>
        </w:rPr>
        <w:t>（三）</w:t>
      </w:r>
      <w:r>
        <w:rPr>
          <w:rFonts w:ascii="Times New Roman" w:hAnsi="Times New Roman" w:eastAsia="楷体_GB2312"/>
          <w:color w:val="auto"/>
        </w:rPr>
        <w:t>项目产出</w:t>
      </w:r>
    </w:p>
    <w:p>
      <w:pPr>
        <w:spacing w:line="600" w:lineRule="exact"/>
        <w:ind w:firstLine="624" w:firstLineChars="200"/>
        <w:rPr>
          <w:rStyle w:val="25"/>
          <w:rFonts w:eastAsia="仿宋"/>
          <w:b w:val="0"/>
          <w:color w:val="auto"/>
          <w:spacing w:val="-4"/>
          <w:sz w:val="32"/>
          <w:szCs w:val="32"/>
        </w:rPr>
      </w:pPr>
      <w:r>
        <w:rPr>
          <w:rStyle w:val="25"/>
          <w:rFonts w:eastAsia="仿宋"/>
          <w:b w:val="0"/>
          <w:color w:val="auto"/>
          <w:spacing w:val="-4"/>
          <w:sz w:val="32"/>
          <w:szCs w:val="32"/>
        </w:rPr>
        <w:t>数量指标方面：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a.监测点数量指标，指标值为&gt;=10个，实际完成11个，完成率110%，偏差率10%，</w:t>
      </w:r>
      <w:r>
        <w:rPr>
          <w:rFonts w:hint="eastAsia" w:ascii="仿宋_GB2312" w:hAnsi="仿宋_GB2312" w:eastAsia="仿宋_GB2312" w:cs="仿宋_GB2312"/>
          <w:b w:val="0"/>
          <w:bCs w:val="0"/>
          <w:color w:val="auto"/>
          <w:kern w:val="2"/>
          <w:sz w:val="32"/>
          <w:szCs w:val="32"/>
          <w:highlight w:val="none"/>
          <w:lang w:val="en-US" w:eastAsia="zh-CN" w:bidi="ar-SA"/>
        </w:rPr>
        <w:t>偏差原因增加了一个宠物店</w:t>
      </w:r>
      <w:r>
        <w:rPr>
          <w:rFonts w:hint="eastAsia" w:ascii="仿宋_GB2312" w:hAnsi="仿宋_GB2312" w:eastAsia="仿宋_GB2312" w:cs="仿宋_GB2312"/>
          <w:b w:val="0"/>
          <w:bCs w:val="0"/>
          <w:color w:val="auto"/>
          <w:kern w:val="2"/>
          <w:sz w:val="32"/>
          <w:szCs w:val="32"/>
          <w:lang w:val="en-US" w:eastAsia="zh-CN" w:bidi="ar-SA"/>
        </w:rPr>
        <w:t>。</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b.采集宠物猫血清数量指标，指标值为&gt;=100份，实际完成100份，完成率100%，偏差率0%</w:t>
      </w:r>
      <w:r>
        <w:rPr>
          <w:rFonts w:hint="eastAsia" w:ascii="仿宋_GB2312" w:hAnsi="仿宋_GB2312" w:eastAsia="仿宋_GB2312" w:cs="仿宋_GB2312"/>
          <w:b w:val="0"/>
          <w:bCs w:val="0"/>
          <w:color w:val="auto"/>
          <w:kern w:val="2"/>
          <w:sz w:val="32"/>
          <w:szCs w:val="32"/>
          <w:highlight w:val="none"/>
          <w:lang w:val="en-US" w:eastAsia="zh-CN" w:bidi="ar-SA"/>
        </w:rPr>
        <w:t>。</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c.完成样品细胞因子、免疫抗体数量指标，指标值为=150份，实际完成150份，完成率100%，偏差率0%</w:t>
      </w:r>
      <w:r>
        <w:rPr>
          <w:rFonts w:hint="eastAsia" w:ascii="仿宋_GB2312" w:hAnsi="仿宋_GB2312" w:eastAsia="仿宋_GB2312" w:cs="仿宋_GB2312"/>
          <w:b w:val="0"/>
          <w:bCs w:val="0"/>
          <w:color w:val="auto"/>
          <w:kern w:val="2"/>
          <w:sz w:val="32"/>
          <w:szCs w:val="32"/>
          <w:highlight w:val="none"/>
          <w:lang w:val="en-US" w:eastAsia="zh-CN" w:bidi="ar-SA"/>
        </w:rPr>
        <w:t>。</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d.完成巴音布鲁克羊消化道线数量指标，指标值为&gt;=50份，实际完成50份，完成率100%，偏差率0%。</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e.完成羊梭菌病病料检测样品数量指标，指标值为&gt;=170份，实际完成170份，完成率100%，偏差率0%。</w:t>
      </w:r>
    </w:p>
    <w:p>
      <w:pPr>
        <w:pStyle w:val="20"/>
        <w:numPr>
          <w:ilvl w:val="0"/>
          <w:numId w:val="0"/>
        </w:numPr>
        <w:ind w:firstLine="640" w:firstLineChars="200"/>
        <w:jc w:val="left"/>
        <w:rPr>
          <w:rFonts w:hint="eastAsia"/>
          <w:color w:val="auto"/>
          <w:lang w:val="en-US" w:eastAsia="zh-CN"/>
        </w:rPr>
      </w:pPr>
      <w:r>
        <w:rPr>
          <w:rFonts w:hint="eastAsia" w:ascii="仿宋_GB2312" w:hAnsi="仿宋_GB2312" w:eastAsia="仿宋_GB2312" w:cs="仿宋_GB2312"/>
          <w:b w:val="0"/>
          <w:bCs w:val="0"/>
          <w:color w:val="auto"/>
          <w:kern w:val="2"/>
          <w:sz w:val="32"/>
          <w:szCs w:val="32"/>
          <w:lang w:val="en-US" w:eastAsia="zh-CN" w:bidi="ar-SA"/>
        </w:rPr>
        <w:t>f.发表论文数量指标，指标值为&gt;=3篇，实际完成3篇，完成率100%，偏差率0%。</w:t>
      </w:r>
    </w:p>
    <w:p>
      <w:pPr>
        <w:spacing w:line="600" w:lineRule="exact"/>
        <w:ind w:firstLine="640" w:firstLineChars="200"/>
        <w:rPr>
          <w:rStyle w:val="54"/>
          <w:rFonts w:hint="eastAsia" w:ascii="Times New Roman" w:hAnsi="Times New Roman" w:eastAsia="仿宋_GB2312" w:cs="Times New Roman"/>
          <w:color w:val="auto"/>
          <w:lang w:eastAsia="zh-CN"/>
        </w:rPr>
      </w:pPr>
      <w:r>
        <w:rPr>
          <w:rStyle w:val="54"/>
          <w:rFonts w:ascii="Times New Roman" w:hAnsi="Times New Roman" w:cs="Times New Roman"/>
          <w:color w:val="auto"/>
        </w:rPr>
        <w:t>质量指标方面：</w:t>
      </w:r>
    </w:p>
    <w:p>
      <w:pPr>
        <w:pStyle w:val="20"/>
        <w:numPr>
          <w:ilvl w:val="0"/>
          <w:numId w:val="0"/>
        </w:numPr>
        <w:ind w:firstLine="640" w:firstLineChars="200"/>
        <w:jc w:val="left"/>
        <w:rPr>
          <w:color w:val="auto"/>
        </w:rPr>
      </w:pPr>
      <w:r>
        <w:rPr>
          <w:rFonts w:hint="eastAsia" w:ascii="仿宋_GB2312" w:hAnsi="仿宋_GB2312" w:eastAsia="仿宋_GB2312" w:cs="仿宋_GB2312"/>
          <w:b w:val="0"/>
          <w:bCs w:val="0"/>
          <w:color w:val="auto"/>
          <w:kern w:val="2"/>
          <w:sz w:val="32"/>
          <w:szCs w:val="32"/>
          <w:lang w:val="en-US" w:eastAsia="zh-CN" w:bidi="ar-SA"/>
        </w:rPr>
        <w:t>a.采集宠物血清样本合格率指标，指标值为&gt;=95%，实际完成98%，完成率103.1%，偏差率3.1%，</w:t>
      </w:r>
      <w:r>
        <w:rPr>
          <w:rFonts w:hint="eastAsia" w:ascii="仿宋_GB2312" w:hAnsi="仿宋_GB2312" w:eastAsia="仿宋_GB2312" w:cs="仿宋_GB2312"/>
          <w:b w:val="0"/>
          <w:bCs w:val="0"/>
          <w:color w:val="auto"/>
          <w:kern w:val="2"/>
          <w:sz w:val="32"/>
          <w:szCs w:val="32"/>
          <w:highlight w:val="none"/>
          <w:lang w:val="en-US" w:eastAsia="zh-CN" w:bidi="ar-SA"/>
        </w:rPr>
        <w:t>偏差原因样品采集、运输、管理存在不确定因素，会导致样品不合格</w:t>
      </w:r>
      <w:r>
        <w:rPr>
          <w:rFonts w:hint="eastAsia" w:ascii="仿宋_GB2312" w:hAnsi="仿宋_GB2312" w:eastAsia="仿宋_GB2312" w:cs="仿宋_GB2312"/>
          <w:b w:val="0"/>
          <w:bCs w:val="0"/>
          <w:color w:val="auto"/>
          <w:kern w:val="2"/>
          <w:sz w:val="32"/>
          <w:szCs w:val="32"/>
          <w:lang w:val="en-US" w:eastAsia="zh-CN" w:bidi="ar-SA"/>
        </w:rPr>
        <w:t>。</w:t>
      </w:r>
    </w:p>
    <w:p>
      <w:pPr>
        <w:pStyle w:val="20"/>
        <w:numPr>
          <w:ilvl w:val="0"/>
          <w:numId w:val="0"/>
        </w:numPr>
        <w:ind w:firstLine="640" w:firstLineChars="200"/>
        <w:jc w:val="left"/>
        <w:rPr>
          <w:color w:val="auto"/>
        </w:rPr>
      </w:pPr>
      <w:r>
        <w:rPr>
          <w:rFonts w:hint="eastAsia" w:ascii="仿宋_GB2312" w:hAnsi="仿宋_GB2312" w:eastAsia="仿宋_GB2312" w:cs="仿宋_GB2312"/>
          <w:b w:val="0"/>
          <w:bCs w:val="0"/>
          <w:color w:val="auto"/>
          <w:kern w:val="2"/>
          <w:sz w:val="32"/>
          <w:szCs w:val="32"/>
          <w:lang w:val="en-US" w:eastAsia="zh-CN" w:bidi="ar-SA"/>
        </w:rPr>
        <w:t>b.采集抗体、病料样本合格率指标，指标值为&gt;=95%，实际完成98%，完成率103.1%，偏差率3.1%，</w:t>
      </w:r>
      <w:r>
        <w:rPr>
          <w:rFonts w:hint="eastAsia" w:ascii="仿宋_GB2312" w:hAnsi="仿宋_GB2312" w:eastAsia="仿宋_GB2312" w:cs="仿宋_GB2312"/>
          <w:b w:val="0"/>
          <w:bCs w:val="0"/>
          <w:color w:val="auto"/>
          <w:kern w:val="2"/>
          <w:sz w:val="32"/>
          <w:szCs w:val="32"/>
          <w:highlight w:val="none"/>
          <w:lang w:val="en-US" w:eastAsia="zh-CN" w:bidi="ar-SA"/>
        </w:rPr>
        <w:t>偏差原因样品采集、运输、管理存在不确定因素，会导致样品不合格</w:t>
      </w:r>
      <w:r>
        <w:rPr>
          <w:rFonts w:hint="eastAsia" w:ascii="仿宋_GB2312" w:hAnsi="仿宋_GB2312" w:eastAsia="仿宋_GB2312" w:cs="仿宋_GB2312"/>
          <w:b w:val="0"/>
          <w:bCs w:val="0"/>
          <w:color w:val="auto"/>
          <w:kern w:val="2"/>
          <w:sz w:val="32"/>
          <w:szCs w:val="32"/>
          <w:lang w:val="en-US" w:eastAsia="zh-CN" w:bidi="ar-SA"/>
        </w:rPr>
        <w:t>。</w:t>
      </w:r>
    </w:p>
    <w:p>
      <w:pPr>
        <w:spacing w:line="600" w:lineRule="exact"/>
        <w:ind w:firstLine="640" w:firstLineChars="200"/>
        <w:rPr>
          <w:rStyle w:val="54"/>
          <w:rFonts w:ascii="Times New Roman" w:hAnsi="Times New Roman" w:cs="Times New Roman"/>
          <w:color w:val="auto"/>
        </w:rPr>
      </w:pPr>
      <w:r>
        <w:rPr>
          <w:rStyle w:val="54"/>
          <w:rFonts w:ascii="Times New Roman" w:hAnsi="Times New Roman" w:cs="Times New Roman"/>
          <w:color w:val="auto"/>
        </w:rPr>
        <w:t>时效指标方面：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a.结题时问卷调查的按期完成率指标，指标值=100%，实际完成100%，完成率100%，偏差率0%。</w:t>
      </w:r>
    </w:p>
    <w:p>
      <w:pPr>
        <w:pStyle w:val="20"/>
        <w:numPr>
          <w:ilvl w:val="0"/>
          <w:numId w:val="0"/>
        </w:numPr>
        <w:ind w:firstLine="640" w:firstLineChars="200"/>
        <w:jc w:val="left"/>
        <w:rPr>
          <w:rFonts w:ascii="Times New Roman" w:hAnsi="Times New Roman"/>
          <w:color w:val="auto"/>
        </w:rPr>
      </w:pPr>
      <w:r>
        <w:rPr>
          <w:rFonts w:hint="eastAsia" w:ascii="仿宋_GB2312" w:hAnsi="仿宋_GB2312" w:eastAsia="仿宋_GB2312" w:cs="仿宋_GB2312"/>
          <w:b w:val="0"/>
          <w:bCs w:val="0"/>
          <w:color w:val="auto"/>
          <w:kern w:val="2"/>
          <w:sz w:val="32"/>
          <w:szCs w:val="32"/>
          <w:lang w:val="en-US" w:eastAsia="zh-CN" w:bidi="ar-SA"/>
        </w:rPr>
        <w:t>b.结题研究报告的按期完成率指标，指标值=100%，实际完成100%，完成率100%，偏差率0%。</w:t>
      </w:r>
    </w:p>
    <w:p>
      <w:pPr>
        <w:pStyle w:val="20"/>
        <w:ind w:firstLine="321" w:firstLineChars="100"/>
        <w:jc w:val="both"/>
        <w:rPr>
          <w:rFonts w:ascii="Times New Roman" w:hAnsi="Times New Roman" w:eastAsia="楷体_GB2312"/>
          <w:color w:val="auto"/>
        </w:rPr>
      </w:pPr>
      <w:r>
        <w:rPr>
          <w:rFonts w:hint="eastAsia" w:ascii="Times New Roman" w:hAnsi="Times New Roman" w:eastAsia="楷体_GB2312"/>
          <w:color w:val="auto"/>
        </w:rPr>
        <w:t>（四）</w:t>
      </w:r>
      <w:r>
        <w:rPr>
          <w:rFonts w:ascii="Times New Roman" w:hAnsi="Times New Roman" w:eastAsia="楷体_GB2312"/>
          <w:color w:val="auto"/>
        </w:rPr>
        <w:t>效益情况</w:t>
      </w:r>
    </w:p>
    <w:p>
      <w:pPr>
        <w:spacing w:line="600" w:lineRule="exact"/>
        <w:ind w:firstLine="640" w:firstLineChars="200"/>
        <w:rPr>
          <w:rStyle w:val="54"/>
          <w:rFonts w:ascii="Times New Roman" w:hAnsi="Times New Roman" w:cs="Times New Roman"/>
          <w:color w:val="auto"/>
        </w:rPr>
      </w:pPr>
      <w:r>
        <w:rPr>
          <w:rStyle w:val="54"/>
          <w:rFonts w:ascii="Times New Roman" w:hAnsi="Times New Roman" w:cs="Times New Roman"/>
          <w:color w:val="auto"/>
        </w:rPr>
        <w:t>社会效益指标方面：</w:t>
      </w:r>
    </w:p>
    <w:p>
      <w:pPr>
        <w:pStyle w:val="20"/>
        <w:numPr>
          <w:ilvl w:val="0"/>
          <w:numId w:val="0"/>
        </w:numPr>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a.提升宠物店及宠物主对布病认知指标，指标值有效提升，实际完成有效提升，完成率100%，偏差率0%。</w:t>
      </w:r>
    </w:p>
    <w:p>
      <w:pPr>
        <w:spacing w:line="600" w:lineRule="exact"/>
        <w:ind w:firstLine="640" w:firstLineChars="200"/>
        <w:rPr>
          <w:rStyle w:val="54"/>
          <w:rFonts w:ascii="Times New Roman" w:hAnsi="Times New Roman" w:cs="Times New Roman"/>
          <w:color w:val="auto"/>
        </w:rPr>
      </w:pPr>
      <w:r>
        <w:rPr>
          <w:rStyle w:val="54"/>
          <w:rFonts w:ascii="Times New Roman" w:hAnsi="Times New Roman" w:cs="Times New Roman"/>
          <w:color w:val="auto"/>
        </w:rPr>
        <w:t>满意度指标方面：</w:t>
      </w:r>
    </w:p>
    <w:p>
      <w:pPr>
        <w:pStyle w:val="20"/>
        <w:numPr>
          <w:ilvl w:val="0"/>
          <w:numId w:val="0"/>
        </w:numPr>
        <w:ind w:firstLine="640" w:firstLineChars="200"/>
        <w:jc w:val="left"/>
        <w:rPr>
          <w:rFonts w:eastAsia="黑体"/>
          <w:color w:val="auto"/>
          <w:sz w:val="32"/>
          <w:szCs w:val="32"/>
        </w:rPr>
      </w:pPr>
      <w:r>
        <w:rPr>
          <w:rFonts w:hint="eastAsia" w:ascii="仿宋_GB2312" w:hAnsi="仿宋_GB2312" w:eastAsia="仿宋_GB2312" w:cs="仿宋_GB2312"/>
          <w:b w:val="0"/>
          <w:bCs w:val="0"/>
          <w:color w:val="auto"/>
          <w:kern w:val="2"/>
          <w:sz w:val="32"/>
          <w:szCs w:val="32"/>
          <w:lang w:val="en-US" w:eastAsia="zh-CN" w:bidi="ar-SA"/>
        </w:rPr>
        <w:t>a.宠物店的满意度指标，指标值为&gt;=90%，实际完成96.14%，完成率106.8%，偏差率6.8%，偏差原因：通过项目的实施提升了宠物店及宠物主对布病的认知水平，对项目的实施又很高的认可。</w:t>
      </w:r>
    </w:p>
    <w:p>
      <w:pPr>
        <w:spacing w:line="600" w:lineRule="exact"/>
        <w:ind w:firstLine="640" w:firstLineChars="200"/>
        <w:rPr>
          <w:rStyle w:val="54"/>
          <w:rFonts w:ascii="Times New Roman" w:hAnsi="Times New Roman" w:cs="Times New Roman"/>
          <w:color w:val="auto"/>
        </w:rPr>
      </w:pPr>
      <w:r>
        <w:rPr>
          <w:rFonts w:eastAsia="黑体"/>
          <w:color w:val="auto"/>
          <w:sz w:val="32"/>
          <w:szCs w:val="32"/>
        </w:rPr>
        <w:t>五、主要经验及做法、存在的问题及原因分析</w:t>
      </w:r>
    </w:p>
    <w:p>
      <w:pPr>
        <w:spacing w:line="600" w:lineRule="exact"/>
        <w:ind w:firstLine="626" w:firstLineChars="200"/>
        <w:rPr>
          <w:rFonts w:eastAsia="楷体"/>
          <w:b/>
          <w:color w:val="auto"/>
          <w:spacing w:val="-4"/>
          <w:sz w:val="32"/>
          <w:szCs w:val="32"/>
        </w:rPr>
      </w:pPr>
      <w:r>
        <w:rPr>
          <w:rFonts w:eastAsia="楷体"/>
          <w:b/>
          <w:color w:val="auto"/>
          <w:spacing w:val="-4"/>
          <w:sz w:val="32"/>
          <w:szCs w:val="32"/>
        </w:rPr>
        <w:t>（一）主要经验及做法</w:t>
      </w:r>
    </w:p>
    <w:p>
      <w:pPr>
        <w:spacing w:line="600" w:lineRule="exact"/>
        <w:ind w:firstLine="640" w:firstLineChars="200"/>
        <w:rPr>
          <w:rFonts w:eastAsia="仿宋_GB2312"/>
          <w:color w:val="auto"/>
          <w:sz w:val="32"/>
          <w:szCs w:val="32"/>
        </w:rPr>
      </w:pPr>
      <w:r>
        <w:rPr>
          <w:rFonts w:eastAsia="仿宋_GB2312"/>
          <w:color w:val="auto"/>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0"/>
        <w:spacing w:before="0" w:after="0" w:line="600" w:lineRule="exact"/>
        <w:ind w:firstLine="640" w:firstLineChars="200"/>
        <w:jc w:val="both"/>
        <w:rPr>
          <w:rFonts w:ascii="Times New Roman" w:hAnsi="Times New Roman" w:eastAsia="仿宋_GB2312"/>
          <w:b w:val="0"/>
          <w:bCs w:val="0"/>
          <w:color w:val="auto"/>
          <w:kern w:val="2"/>
        </w:rPr>
      </w:pPr>
      <w:r>
        <w:rPr>
          <w:rFonts w:ascii="Times New Roman" w:hAnsi="Times New Roman" w:eastAsia="仿宋_GB2312"/>
          <w:b w:val="0"/>
          <w:bCs w:val="0"/>
          <w:color w:val="auto"/>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600" w:lineRule="exact"/>
        <w:ind w:firstLine="642" w:firstLineChars="200"/>
        <w:rPr>
          <w:rFonts w:eastAsia="楷体_GB2312"/>
          <w:b/>
          <w:bCs/>
          <w:color w:val="auto"/>
          <w:sz w:val="32"/>
          <w:szCs w:val="32"/>
        </w:rPr>
      </w:pPr>
      <w:r>
        <w:rPr>
          <w:rFonts w:eastAsia="楷体_GB2312"/>
          <w:b/>
          <w:bCs/>
          <w:color w:val="auto"/>
          <w:sz w:val="32"/>
          <w:szCs w:val="32"/>
        </w:rPr>
        <w:t>存在的问题及原因分析</w:t>
      </w:r>
    </w:p>
    <w:p>
      <w:pPr>
        <w:ind w:firstLine="640" w:firstLineChars="200"/>
        <w:rPr>
          <w:rFonts w:ascii="Times New Roman" w:hAnsi="Times New Roman" w:eastAsia="仿宋_GB2312" w:cs="Times New Roman"/>
          <w:b w:val="0"/>
          <w:bCs w:val="0"/>
          <w:color w:val="auto"/>
          <w:kern w:val="2"/>
          <w:sz w:val="32"/>
          <w:szCs w:val="32"/>
          <w:lang w:val="en-US" w:eastAsia="zh-CN" w:bidi="ar-SA"/>
        </w:rPr>
      </w:pPr>
      <w:r>
        <w:rPr>
          <w:rFonts w:hint="eastAsia" w:ascii="Times New Roman" w:hAnsi="Times New Roman" w:eastAsia="仿宋_GB2312" w:cs="Times New Roman"/>
          <w:b w:val="0"/>
          <w:bCs w:val="0"/>
          <w:color w:val="auto"/>
          <w:kern w:val="2"/>
          <w:sz w:val="32"/>
          <w:szCs w:val="32"/>
          <w:lang w:val="en-US" w:eastAsia="zh-CN" w:bidi="ar-SA"/>
        </w:rPr>
        <w:t>因创新环境建设青年自然科学基金为多年连续性项目，该经费由我单位多个创新环境建设青年自然科学基金项目组成，因非单个项目，存在绩效目标不好设定的问题。</w:t>
      </w:r>
    </w:p>
    <w:p>
      <w:pPr>
        <w:numPr>
          <w:ilvl w:val="0"/>
          <w:numId w:val="8"/>
        </w:numPr>
        <w:spacing w:line="600" w:lineRule="exact"/>
        <w:ind w:firstLine="640" w:firstLineChars="200"/>
        <w:rPr>
          <w:rFonts w:eastAsia="黑体"/>
          <w:color w:val="auto"/>
          <w:sz w:val="32"/>
          <w:szCs w:val="32"/>
        </w:rPr>
      </w:pPr>
      <w:r>
        <w:rPr>
          <w:rFonts w:eastAsia="黑体"/>
          <w:color w:val="auto"/>
          <w:sz w:val="32"/>
          <w:szCs w:val="32"/>
        </w:rPr>
        <w:t>有关建议</w:t>
      </w:r>
    </w:p>
    <w:p>
      <w:pPr>
        <w:spacing w:line="600" w:lineRule="exact"/>
        <w:ind w:firstLine="640" w:firstLineChars="200"/>
        <w:rPr>
          <w:color w:val="auto"/>
        </w:rPr>
      </w:pPr>
      <w:r>
        <w:rPr>
          <w:rFonts w:hint="eastAsia" w:ascii="仿宋_GB2312" w:hAnsi="仿宋_GB2312" w:eastAsia="仿宋_GB2312" w:cs="仿宋_GB2312"/>
          <w:color w:val="auto"/>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8"/>
        </w:numPr>
        <w:spacing w:line="600" w:lineRule="exact"/>
        <w:ind w:firstLine="640" w:firstLineChars="200"/>
        <w:rPr>
          <w:rFonts w:eastAsia="黑体"/>
          <w:color w:val="auto"/>
          <w:sz w:val="32"/>
          <w:szCs w:val="32"/>
        </w:rPr>
      </w:pPr>
      <w:r>
        <w:rPr>
          <w:rFonts w:eastAsia="黑体"/>
          <w:color w:val="auto"/>
          <w:sz w:val="32"/>
          <w:szCs w:val="32"/>
        </w:rPr>
        <w:t>其他需要说</w:t>
      </w:r>
      <w:bookmarkStart w:id="1" w:name="page8"/>
      <w:bookmarkEnd w:id="1"/>
      <w:r>
        <w:rPr>
          <w:rFonts w:eastAsia="黑体"/>
          <w:color w:val="auto"/>
          <w:sz w:val="32"/>
          <w:szCs w:val="32"/>
        </w:rPr>
        <w:t>明的问题</w:t>
      </w:r>
    </w:p>
    <w:p>
      <w:pPr>
        <w:pStyle w:val="22"/>
        <w:ind w:firstLine="320" w:firstLineChars="100"/>
        <w:rPr>
          <w:rFonts w:hint="eastAsia" w:ascii="Times New Roman" w:hAnsi="Times New Roman" w:eastAsia="仿宋_GB2312"/>
          <w:b/>
          <w:color w:val="auto"/>
          <w:kern w:val="0"/>
          <w:sz w:val="32"/>
          <w:szCs w:val="32"/>
          <w:lang w:eastAsia="zh-CN" w:bidi="ar"/>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color w:val="auto"/>
          <w:sz w:val="32"/>
          <w:szCs w:val="32"/>
        </w:rPr>
        <w:t>无</w:t>
      </w:r>
      <w:r>
        <w:rPr>
          <w:rFonts w:hint="eastAsia" w:ascii="仿宋_GB2312" w:hAnsi="仿宋_GB2312" w:eastAsia="仿宋_GB2312" w:cs="仿宋_GB2312"/>
          <w:color w:val="auto"/>
          <w:sz w:val="32"/>
          <w:szCs w:val="32"/>
          <w:lang w:eastAsia="zh-CN"/>
        </w:rPr>
        <w:t>。</w:t>
      </w:r>
    </w:p>
    <w:tbl>
      <w:tblPr>
        <w:tblStyle w:val="23"/>
        <w:tblW w:w="13988" w:type="dxa"/>
        <w:tblInd w:w="0" w:type="dxa"/>
        <w:shd w:val="clear" w:color="auto" w:fill="auto"/>
        <w:tblLayout w:type="fixed"/>
        <w:tblCellMar>
          <w:top w:w="0" w:type="dxa"/>
          <w:left w:w="0" w:type="dxa"/>
          <w:bottom w:w="0" w:type="dxa"/>
          <w:right w:w="0" w:type="dxa"/>
        </w:tblCellMar>
      </w:tblPr>
      <w:tblGrid>
        <w:gridCol w:w="583"/>
        <w:gridCol w:w="583"/>
        <w:gridCol w:w="583"/>
        <w:gridCol w:w="1308"/>
        <w:gridCol w:w="930"/>
        <w:gridCol w:w="930"/>
        <w:gridCol w:w="930"/>
        <w:gridCol w:w="929"/>
        <w:gridCol w:w="931"/>
        <w:gridCol w:w="930"/>
        <w:gridCol w:w="930"/>
        <w:gridCol w:w="1119"/>
        <w:gridCol w:w="993"/>
        <w:gridCol w:w="2309"/>
      </w:tblGrid>
      <w:tr>
        <w:trPr>
          <w:trHeight w:val="405" w:hRule="atLeast"/>
        </w:trPr>
        <w:tc>
          <w:tcPr>
            <w:tcW w:w="13988" w:type="dxa"/>
            <w:gridSpan w:val="14"/>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u w:val="none"/>
              </w:rPr>
            </w:pPr>
            <w:r>
              <w:rPr>
                <w:rFonts w:hint="eastAsia" w:ascii="宋体" w:hAnsi="宋体" w:eastAsia="宋体" w:cs="宋体"/>
                <w:b/>
                <w:i w:val="0"/>
                <w:color w:val="auto"/>
                <w:kern w:val="0"/>
                <w:sz w:val="32"/>
                <w:szCs w:val="32"/>
                <w:u w:val="none"/>
                <w:lang w:val="en-US" w:eastAsia="zh-CN" w:bidi="ar"/>
              </w:rPr>
              <w:t>项目支出绩效自评表</w:t>
            </w:r>
          </w:p>
        </w:tc>
      </w:tr>
      <w:tr>
        <w:trPr>
          <w:trHeight w:val="380" w:hRule="atLeast"/>
        </w:trPr>
        <w:tc>
          <w:tcPr>
            <w:tcW w:w="13988" w:type="dxa"/>
            <w:gridSpan w:val="1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(2024年度)</w:t>
            </w:r>
          </w:p>
        </w:tc>
      </w:tr>
      <w:tr>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项目名称</w:t>
            </w:r>
          </w:p>
        </w:tc>
        <w:tc>
          <w:tcPr>
            <w:tcW w:w="12822" w:type="dxa"/>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自治区创新环境建设青年科学基金</w:t>
            </w:r>
          </w:p>
        </w:tc>
      </w:tr>
      <w:tr>
        <w:trPr>
          <w:trHeight w:val="380" w:hRule="atLeast"/>
        </w:trPr>
        <w:tc>
          <w:tcPr>
            <w:tcW w:w="1166"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主管部门</w:t>
            </w:r>
          </w:p>
        </w:tc>
        <w:tc>
          <w:tcPr>
            <w:tcW w:w="46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自治区畜牧兽医局</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实施单位</w:t>
            </w:r>
          </w:p>
        </w:tc>
        <w:tc>
          <w:tcPr>
            <w:tcW w:w="6281"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新疆维吾尔自治区动物卫生监督所（新疆维吾尔自治区动物疾病预防控制中心）</w:t>
            </w:r>
          </w:p>
        </w:tc>
      </w:tr>
      <w:tr>
        <w:trPr>
          <w:trHeight w:val="380" w:hRule="atLeast"/>
        </w:trPr>
        <w:tc>
          <w:tcPr>
            <w:tcW w:w="116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项目资金</w:t>
            </w:r>
            <w:r>
              <w:rPr>
                <w:rFonts w:hint="eastAsia" w:ascii="宋体" w:hAnsi="宋体" w:eastAsia="宋体" w:cs="宋体"/>
                <w:b/>
                <w:i w:val="0"/>
                <w:color w:val="auto"/>
                <w:kern w:val="0"/>
                <w:sz w:val="18"/>
                <w:szCs w:val="18"/>
                <w:u w:val="none"/>
                <w:lang w:val="en-US" w:eastAsia="zh-CN" w:bidi="ar"/>
              </w:rPr>
              <w:br w:type="textWrapping"/>
            </w:r>
            <w:r>
              <w:rPr>
                <w:rFonts w:hint="eastAsia" w:ascii="宋体" w:hAnsi="宋体" w:eastAsia="宋体" w:cs="宋体"/>
                <w:b/>
                <w:i w:val="0"/>
                <w:color w:val="auto"/>
                <w:kern w:val="0"/>
                <w:sz w:val="18"/>
                <w:szCs w:val="18"/>
                <w:u w:val="none"/>
                <w:lang w:val="en-US" w:eastAsia="zh-CN" w:bidi="ar"/>
              </w:rPr>
              <w:t>（万元）</w:t>
            </w: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年初预算数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全年预算数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全年执行数</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分值</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执行率</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得分</w:t>
            </w:r>
          </w:p>
        </w:tc>
      </w:tr>
      <w:tr>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年度资金总额</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14.86</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10.00</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67.55%</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6.76</w:t>
            </w:r>
          </w:p>
        </w:tc>
      </w:tr>
      <w:tr>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其中：当年财政拨款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0.00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trPr>
          <w:trHeight w:val="380" w:hRule="atLeast"/>
        </w:trPr>
        <w:tc>
          <w:tcPr>
            <w:tcW w:w="116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8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 xml:space="preserve">  其他资金</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22.00</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14.86</w:t>
            </w:r>
          </w:p>
        </w:tc>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1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r>
      <w:tr>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年度总体目标</w:t>
            </w:r>
          </w:p>
        </w:tc>
        <w:tc>
          <w:tcPr>
            <w:tcW w:w="52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预期目标</w:t>
            </w:r>
          </w:p>
        </w:tc>
        <w:tc>
          <w:tcPr>
            <w:tcW w:w="814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实际完成情况</w:t>
            </w:r>
          </w:p>
        </w:tc>
      </w:tr>
      <w:tr>
        <w:trPr>
          <w:trHeight w:val="70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26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以兽医卫生平台中的国家动物疫情上报系统为依托，以自治区动物疾控中心为样品检测实验室及数据处理分析主体，提出体系建立，研究经费成本不超过,22万元。建立监测点数量达10个以上，宠物猫血清100份以上。完成样品细胞因子、免疫抗体检测150份，完成巴音布鲁克羊消化道线虫虫卵的采集50份，完成羊梭菌病病料检测样品170份，发表论文数量3篇。采集宠物血清样本合格率达95%，集抗体、病料样本合格率95%，结题时问卷调查的按期完成率100%，结题时报告按期完成率达100%，有效提升宠物店及宠物主对布病认知水平，宠物店的满意程度达90%以上（包含90%）。</w:t>
            </w:r>
          </w:p>
        </w:tc>
        <w:tc>
          <w:tcPr>
            <w:tcW w:w="8141"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今年建立监测点数量达11个，宠物猫血清100份。完成样品细胞因子、免疫抗体检测150份，完成巴音布鲁克羊消化道线虫虫卵的采集50份，完成羊梭菌病病料检测样品170份，发表论文数量3篇。采集宠物血清样本合格率达98%，集抗体、病料样本合格率98%，结题时问卷调查的按期完成率100%，结题时报告按期完成率达100%，有效提升宠物店及宠物主对布病认知水平，宠物店的满意程度达96.14%。</w:t>
            </w:r>
          </w:p>
        </w:tc>
      </w:tr>
      <w:tr>
        <w:trPr>
          <w:trHeight w:val="27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一级指标</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二级指标</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三级指标</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权重</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目标值</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业绩值</w:t>
            </w:r>
          </w:p>
        </w:tc>
        <w:tc>
          <w:tcPr>
            <w:tcW w:w="92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完成率</w:t>
            </w:r>
          </w:p>
        </w:tc>
        <w:tc>
          <w:tcPr>
            <w:tcW w:w="9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指标得分</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指标值设定依据</w:t>
            </w:r>
          </w:p>
        </w:tc>
        <w:tc>
          <w:tcPr>
            <w:tcW w:w="93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上年完成情况</w:t>
            </w:r>
          </w:p>
        </w:tc>
        <w:tc>
          <w:tcPr>
            <w:tcW w:w="111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赋分规则</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佐证资料</w:t>
            </w:r>
          </w:p>
        </w:tc>
        <w:tc>
          <w:tcPr>
            <w:tcW w:w="230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偏差原因分析及改进措施</w:t>
            </w:r>
          </w:p>
        </w:tc>
      </w:tr>
      <w:tr>
        <w:trPr>
          <w:trHeight w:val="27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2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111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23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r>
      <w:tr>
        <w:trPr>
          <w:trHeight w:val="380" w:hRule="atLeast"/>
        </w:trPr>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年度绩效指标完成情况</w:t>
            </w:r>
          </w:p>
        </w:tc>
        <w:tc>
          <w:tcPr>
            <w:tcW w:w="5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产出指标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监测点数量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&gt;=10个</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=11个</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5.4</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调研期间增加了一个宠物店。改进措施：把好项目申报关，做好项目计划，严格落实项目计划，严格项目监督。</w:t>
            </w: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采集宠物猫血清数量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&gt;=100份</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完成样品细胞因子、免疫抗体检测。</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=150份</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=150份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完成巴音布鲁克羊消化道线虫虫卵的采集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&gt;=50份</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=50份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完成羊梭菌病病料检测样品</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&gt;=170份</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=170份</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数量指标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发表论文数量</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&gt;=3篇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=3篇</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采集宠物血清样本合格率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=98%</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样品采集、运输、管理存在不确定因素，会导致样品不合格。改进措施：严格落实项目计划，严格项目监督，在样品采集运输过程中严格质量把控。</w:t>
            </w: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质量指标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采集抗体、病料样本合格率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&gt;=95%</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=98%</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样品采集、运输、管理存在不确定因素，会导致样品不合格。改进措施：严格落实项目计划，严格项目监督，在样品采集运输过程中严格质量把控。</w:t>
            </w: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结题时问卷调查的按期完成率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时效指标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结题研究报告的按期完成率</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按照完成比例赋分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效益指标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社会效益指标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提升宠物店及宠物主对布病认知水平</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有效</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按评判等级赋分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r>
      <w:tr>
        <w:trPr>
          <w:trHeight w:val="380" w:hRule="atLeast"/>
        </w:trPr>
        <w:tc>
          <w:tcPr>
            <w:tcW w:w="5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auto"/>
                <w:sz w:val="18"/>
                <w:szCs w:val="18"/>
                <w:u w:val="none"/>
              </w:rPr>
            </w:pP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5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满意度指标</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宠物店的满意度</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&gt;=90%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=96.14%</w:t>
            </w: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106.82</w:t>
            </w: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w:t>
            </w: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满意度赋分</w:t>
            </w: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工作资料</w:t>
            </w: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通过项目的实施提升了宠物店及宠物主对布病的认知水平，对项目的实施又很高的认可。改进措施：多宣传，多培训，多走访，提升了宠物店及宠物主对布病的认知水平，提高满意度。</w:t>
            </w:r>
          </w:p>
        </w:tc>
      </w:tr>
      <w:tr>
        <w:trPr>
          <w:trHeight w:val="380" w:hRule="atLeast"/>
        </w:trPr>
        <w:tc>
          <w:tcPr>
            <w:tcW w:w="3057" w:type="dxa"/>
            <w:gridSpan w:val="4"/>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100</w:t>
            </w:r>
          </w:p>
        </w:tc>
        <w:tc>
          <w:tcPr>
            <w:tcW w:w="930"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b/>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u w:val="none"/>
              </w:rPr>
            </w:pPr>
          </w:p>
        </w:tc>
        <w:tc>
          <w:tcPr>
            <w:tcW w:w="9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96.16分</w:t>
            </w: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111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9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c>
          <w:tcPr>
            <w:tcW w:w="23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auto"/>
                <w:sz w:val="18"/>
                <w:szCs w:val="18"/>
                <w:u w:val="none"/>
              </w:rPr>
            </w:pPr>
          </w:p>
        </w:tc>
      </w:tr>
    </w:tbl>
    <w:p>
      <w:pPr>
        <w:rPr>
          <w:color w:val="auto"/>
        </w:rPr>
        <w:sectPr>
          <w:pgSz w:w="16838" w:h="11906" w:orient="landscape"/>
          <w:pgMar w:top="1800" w:right="1440" w:bottom="1558" w:left="1440" w:header="851" w:footer="992" w:gutter="0"/>
          <w:cols w:space="425" w:num="1"/>
          <w:docGrid w:type="lines" w:linePitch="312" w:charSpace="0"/>
        </w:sectPr>
      </w:pPr>
    </w:p>
    <w:p>
      <w:pPr>
        <w:pStyle w:val="14"/>
        <w:rPr>
          <w:color w:val="auto"/>
        </w:rPr>
      </w:pPr>
    </w:p>
    <w:p>
      <w:pPr>
        <w:spacing w:line="600" w:lineRule="exact"/>
        <w:rPr>
          <w:rFonts w:hint="default" w:eastAsia="宋体"/>
          <w:bCs/>
          <w:color w:val="auto"/>
          <w:sz w:val="32"/>
          <w:szCs w:val="32"/>
          <w:lang w:val="en-US" w:eastAsia="zh-CN"/>
        </w:rPr>
      </w:pPr>
      <w:r>
        <w:rPr>
          <w:bCs/>
          <w:color w:val="auto"/>
          <w:sz w:val="32"/>
          <w:szCs w:val="32"/>
        </w:rPr>
        <w:t>附件</w:t>
      </w:r>
      <w:r>
        <w:rPr>
          <w:rFonts w:hint="eastAsia"/>
          <w:bCs/>
          <w:color w:val="auto"/>
          <w:sz w:val="32"/>
          <w:szCs w:val="32"/>
          <w:lang w:val="en-US" w:eastAsia="zh-CN"/>
        </w:rPr>
        <w:t>1</w:t>
      </w:r>
    </w:p>
    <w:tbl>
      <w:tblPr>
        <w:tblStyle w:val="2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一级指标</w:t>
            </w:r>
          </w:p>
        </w:tc>
        <w:tc>
          <w:tcPr>
            <w:tcW w:w="767"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二级指标</w:t>
            </w:r>
          </w:p>
        </w:tc>
        <w:tc>
          <w:tcPr>
            <w:tcW w:w="87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三级指标</w:t>
            </w:r>
          </w:p>
        </w:tc>
        <w:tc>
          <w:tcPr>
            <w:tcW w:w="235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指标解释</w:t>
            </w:r>
          </w:p>
        </w:tc>
        <w:tc>
          <w:tcPr>
            <w:tcW w:w="5188"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指标说明</w:t>
            </w:r>
          </w:p>
        </w:tc>
        <w:tc>
          <w:tcPr>
            <w:tcW w:w="1300"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权重</w:t>
            </w:r>
          </w:p>
        </w:tc>
        <w:tc>
          <w:tcPr>
            <w:tcW w:w="1363" w:type="dxa"/>
            <w:shd w:val="clear" w:color="auto" w:fill="FFFFFF"/>
            <w:vAlign w:val="center"/>
          </w:tcPr>
          <w:p>
            <w:pPr>
              <w:widowControl/>
              <w:spacing w:line="0" w:lineRule="atLeast"/>
              <w:jc w:val="center"/>
              <w:rPr>
                <w:b/>
                <w:bCs/>
                <w:color w:val="auto"/>
                <w:kern w:val="0"/>
                <w:sz w:val="22"/>
                <w:szCs w:val="22"/>
              </w:rPr>
            </w:pPr>
            <w:r>
              <w:rPr>
                <w:b/>
                <w:bCs/>
                <w:color w:val="auto"/>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318"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决策　</w:t>
            </w:r>
          </w:p>
          <w:p>
            <w:pPr>
              <w:widowControl/>
              <w:spacing w:line="0" w:lineRule="atLeast"/>
              <w:jc w:val="center"/>
              <w:rPr>
                <w:color w:val="auto"/>
                <w:kern w:val="0"/>
                <w:sz w:val="22"/>
                <w:szCs w:val="22"/>
              </w:rPr>
            </w:pPr>
            <w:r>
              <w:rPr>
                <w:color w:val="auto"/>
                <w:kern w:val="0"/>
                <w:sz w:val="22"/>
                <w:szCs w:val="22"/>
              </w:rPr>
              <w:t>　</w:t>
            </w:r>
          </w:p>
          <w:p>
            <w:pPr>
              <w:spacing w:line="0" w:lineRule="atLeast"/>
              <w:jc w:val="center"/>
              <w:rPr>
                <w:color w:val="auto"/>
                <w:kern w:val="0"/>
                <w:sz w:val="22"/>
                <w:szCs w:val="22"/>
              </w:rPr>
            </w:pPr>
            <w:r>
              <w:rPr>
                <w:color w:val="auto"/>
                <w:kern w:val="0"/>
                <w:sz w:val="22"/>
                <w:szCs w:val="22"/>
              </w:rPr>
              <w:t>　</w:t>
            </w: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项目立项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立项依据</w:t>
            </w:r>
          </w:p>
          <w:p>
            <w:pPr>
              <w:widowControl/>
              <w:spacing w:line="0" w:lineRule="atLeast"/>
              <w:jc w:val="center"/>
              <w:rPr>
                <w:color w:val="auto"/>
                <w:kern w:val="0"/>
                <w:sz w:val="22"/>
                <w:szCs w:val="22"/>
              </w:rPr>
            </w:pPr>
            <w:r>
              <w:rPr>
                <w:color w:val="auto"/>
                <w:kern w:val="0"/>
                <w:sz w:val="22"/>
                <w:szCs w:val="22"/>
              </w:rPr>
              <w:t>充分性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项目立项是否符合法律法规、相关政策、发展规划以及部门职责，用以反映和考核项目立项依据情况。</w:t>
            </w:r>
          </w:p>
        </w:tc>
        <w:tc>
          <w:tcPr>
            <w:tcW w:w="5188"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①项目立项是否符合国家法律法规、国民经济发展规划和相关政策；</w:t>
            </w:r>
            <w:r>
              <w:rPr>
                <w:color w:val="auto"/>
                <w:kern w:val="0"/>
                <w:sz w:val="22"/>
                <w:szCs w:val="22"/>
              </w:rPr>
              <w:br w:type="textWrapping"/>
            </w:r>
            <w:r>
              <w:rPr>
                <w:color w:val="auto"/>
                <w:kern w:val="0"/>
                <w:sz w:val="22"/>
                <w:szCs w:val="22"/>
              </w:rPr>
              <w:t>②项目立项是否符合行业发展规划和政策要求；</w:t>
            </w:r>
            <w:r>
              <w:rPr>
                <w:color w:val="auto"/>
                <w:kern w:val="0"/>
                <w:sz w:val="22"/>
                <w:szCs w:val="22"/>
              </w:rPr>
              <w:br w:type="textWrapping"/>
            </w:r>
            <w:r>
              <w:rPr>
                <w:color w:val="auto"/>
                <w:kern w:val="0"/>
                <w:sz w:val="22"/>
                <w:szCs w:val="22"/>
              </w:rPr>
              <w:t>③项目立项是否与部门职责范围相符，属于部门履职所需；</w:t>
            </w:r>
            <w:r>
              <w:rPr>
                <w:color w:val="auto"/>
                <w:kern w:val="0"/>
                <w:sz w:val="22"/>
                <w:szCs w:val="22"/>
              </w:rPr>
              <w:br w:type="textWrapping"/>
            </w:r>
            <w:r>
              <w:rPr>
                <w:color w:val="auto"/>
                <w:kern w:val="0"/>
                <w:sz w:val="22"/>
                <w:szCs w:val="22"/>
              </w:rPr>
              <w:t>④项目是否属于公共财政支持范围，是否符合中央、地方事权支出责任划分原则；</w:t>
            </w:r>
            <w:r>
              <w:rPr>
                <w:color w:val="auto"/>
                <w:kern w:val="0"/>
                <w:sz w:val="22"/>
                <w:szCs w:val="22"/>
              </w:rPr>
              <w:br w:type="textWrapping"/>
            </w:r>
            <w:r>
              <w:rPr>
                <w:color w:val="auto"/>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立项程序</w:t>
            </w:r>
          </w:p>
          <w:p>
            <w:pPr>
              <w:widowControl/>
              <w:spacing w:line="0" w:lineRule="atLeast"/>
              <w:jc w:val="center"/>
              <w:rPr>
                <w:color w:val="auto"/>
                <w:kern w:val="0"/>
                <w:sz w:val="22"/>
                <w:szCs w:val="22"/>
              </w:rPr>
            </w:pPr>
            <w:r>
              <w:rPr>
                <w:color w:val="auto"/>
                <w:kern w:val="0"/>
                <w:sz w:val="22"/>
                <w:szCs w:val="22"/>
              </w:rPr>
              <w:t>规范性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项目申请、设立过程是否符合相关要求，用以反映和考核项目立项的规范情况。</w:t>
            </w:r>
          </w:p>
        </w:tc>
        <w:tc>
          <w:tcPr>
            <w:tcW w:w="5188" w:type="dxa"/>
            <w:shd w:val="clear" w:color="auto"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①项目是否按照规定的程序申请设立；</w:t>
            </w:r>
            <w:r>
              <w:rPr>
                <w:color w:val="auto"/>
                <w:kern w:val="0"/>
                <w:sz w:val="22"/>
                <w:szCs w:val="22"/>
              </w:rPr>
              <w:br w:type="textWrapping"/>
            </w:r>
            <w:r>
              <w:rPr>
                <w:color w:val="auto"/>
                <w:kern w:val="0"/>
                <w:sz w:val="22"/>
                <w:szCs w:val="22"/>
              </w:rPr>
              <w:t>②审批文件、材料是否符合相关要求；</w:t>
            </w:r>
            <w:r>
              <w:rPr>
                <w:color w:val="auto"/>
                <w:kern w:val="0"/>
                <w:sz w:val="22"/>
                <w:szCs w:val="22"/>
              </w:rPr>
              <w:br w:type="textWrapping"/>
            </w:r>
            <w:r>
              <w:rPr>
                <w:color w:val="auto"/>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919"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p>
            <w:pPr>
              <w:widowControl/>
              <w:spacing w:line="0" w:lineRule="atLeast"/>
              <w:jc w:val="center"/>
              <w:rPr>
                <w:color w:val="auto"/>
                <w:kern w:val="0"/>
                <w:sz w:val="22"/>
                <w:szCs w:val="22"/>
              </w:rPr>
            </w:pPr>
            <w:r>
              <w:rPr>
                <w:color w:val="auto"/>
                <w:kern w:val="0"/>
                <w:sz w:val="22"/>
                <w:szCs w:val="22"/>
              </w:rPr>
              <w:t>合理性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项目所设定的绩效目标是否依据充分，是否符合客观实际，用以反映和考核项目绩效目标与项目实施的相符情况。</w:t>
            </w:r>
          </w:p>
        </w:tc>
        <w:tc>
          <w:tcPr>
            <w:tcW w:w="5188" w:type="dxa"/>
            <w:shd w:val="clear" w:color="000000" w:fill="FFFFFF"/>
            <w:vAlign w:val="center"/>
          </w:tcPr>
          <w:p>
            <w:pPr>
              <w:widowControl/>
              <w:spacing w:line="0" w:lineRule="atLeast"/>
              <w:jc w:val="lef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（如未设定预算绩效目标，也可考核其他工作任务目标）</w:t>
            </w:r>
            <w:r>
              <w:rPr>
                <w:color w:val="auto"/>
                <w:kern w:val="0"/>
                <w:sz w:val="22"/>
                <w:szCs w:val="22"/>
              </w:rPr>
              <w:br w:type="textWrapping"/>
            </w:r>
            <w:r>
              <w:rPr>
                <w:color w:val="auto"/>
                <w:kern w:val="0"/>
                <w:sz w:val="22"/>
                <w:szCs w:val="22"/>
              </w:rPr>
              <w:t>①项目是否有绩效目标；</w:t>
            </w:r>
            <w:r>
              <w:rPr>
                <w:color w:val="auto"/>
                <w:kern w:val="0"/>
                <w:sz w:val="22"/>
                <w:szCs w:val="22"/>
              </w:rPr>
              <w:br w:type="textWrapping"/>
            </w:r>
            <w:r>
              <w:rPr>
                <w:color w:val="auto"/>
                <w:kern w:val="0"/>
                <w:sz w:val="22"/>
                <w:szCs w:val="22"/>
              </w:rPr>
              <w:t>②项目绩效目标与实际工作内容是否具有相关性；</w:t>
            </w:r>
            <w:r>
              <w:rPr>
                <w:color w:val="auto"/>
                <w:kern w:val="0"/>
                <w:sz w:val="22"/>
                <w:szCs w:val="22"/>
              </w:rPr>
              <w:br w:type="textWrapping"/>
            </w:r>
            <w:r>
              <w:rPr>
                <w:color w:val="auto"/>
                <w:kern w:val="0"/>
                <w:sz w:val="22"/>
                <w:szCs w:val="22"/>
              </w:rPr>
              <w:t>③项目预期产出效益和效果是否符合正常的业绩水平；</w:t>
            </w:r>
          </w:p>
          <w:p>
            <w:pPr>
              <w:widowControl/>
              <w:spacing w:line="0" w:lineRule="atLeast"/>
              <w:jc w:val="left"/>
              <w:rPr>
                <w:color w:val="auto"/>
                <w:kern w:val="0"/>
                <w:sz w:val="22"/>
                <w:szCs w:val="22"/>
              </w:rPr>
            </w:pPr>
            <w:r>
              <w:rPr>
                <w:color w:val="auto"/>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决策　</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绩效目标</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绩效指标</w:t>
            </w:r>
          </w:p>
          <w:p>
            <w:pPr>
              <w:widowControl/>
              <w:spacing w:line="0" w:lineRule="atLeast"/>
              <w:jc w:val="center"/>
              <w:rPr>
                <w:color w:val="auto"/>
                <w:kern w:val="0"/>
                <w:sz w:val="22"/>
                <w:szCs w:val="22"/>
              </w:rPr>
            </w:pPr>
            <w:r>
              <w:rPr>
                <w:color w:val="auto"/>
                <w:kern w:val="0"/>
                <w:sz w:val="22"/>
                <w:szCs w:val="22"/>
              </w:rPr>
              <w:t>明确性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依据绩效目标设定的绩效指标是否清晰、细化、可衡量等，用以反映和考核项目绩效目标的明细化情况。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①是否将项目绩效目标细化分解为具体的绩效指标；</w:t>
            </w:r>
            <w:r>
              <w:rPr>
                <w:color w:val="auto"/>
                <w:kern w:val="0"/>
                <w:sz w:val="22"/>
                <w:szCs w:val="22"/>
              </w:rPr>
              <w:br w:type="textWrapping"/>
            </w:r>
            <w:r>
              <w:rPr>
                <w:color w:val="auto"/>
                <w:kern w:val="0"/>
                <w:sz w:val="22"/>
                <w:szCs w:val="22"/>
              </w:rPr>
              <w:t>②是否通过清晰、可衡量的指标值予以体现；</w:t>
            </w:r>
            <w:r>
              <w:rPr>
                <w:color w:val="auto"/>
                <w:kern w:val="0"/>
                <w:sz w:val="22"/>
                <w:szCs w:val="22"/>
              </w:rPr>
              <w:br w:type="textWrapping"/>
            </w:r>
            <w:r>
              <w:rPr>
                <w:color w:val="auto"/>
                <w:kern w:val="0"/>
                <w:sz w:val="22"/>
                <w:szCs w:val="22"/>
              </w:rPr>
              <w:t>③是否与项目目标任务数或计划数相对应。</w:t>
            </w:r>
            <w:r>
              <w:rPr>
                <w:color w:val="auto"/>
                <w:kern w:val="0"/>
                <w:sz w:val="22"/>
                <w:szCs w:val="22"/>
              </w:rPr>
              <w:br w:type="textWrapping"/>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942"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资金投入</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预算编制</w:t>
            </w:r>
          </w:p>
          <w:p>
            <w:pPr>
              <w:widowControl/>
              <w:spacing w:line="0" w:lineRule="atLeast"/>
              <w:jc w:val="center"/>
              <w:rPr>
                <w:color w:val="auto"/>
                <w:kern w:val="0"/>
                <w:sz w:val="22"/>
                <w:szCs w:val="22"/>
              </w:rPr>
            </w:pPr>
            <w:r>
              <w:rPr>
                <w:color w:val="auto"/>
                <w:kern w:val="0"/>
                <w:sz w:val="22"/>
                <w:szCs w:val="22"/>
              </w:rPr>
              <w:t>科学性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①预算编制是否经过科学论证；</w:t>
            </w:r>
            <w:r>
              <w:rPr>
                <w:color w:val="auto"/>
                <w:kern w:val="0"/>
                <w:sz w:val="22"/>
                <w:szCs w:val="22"/>
              </w:rPr>
              <w:br w:type="textWrapping"/>
            </w:r>
            <w:r>
              <w:rPr>
                <w:color w:val="auto"/>
                <w:kern w:val="0"/>
                <w:sz w:val="22"/>
                <w:szCs w:val="22"/>
              </w:rPr>
              <w:t>②预算内容与项目内容是否匹配；</w:t>
            </w:r>
            <w:r>
              <w:rPr>
                <w:color w:val="auto"/>
                <w:kern w:val="0"/>
                <w:sz w:val="22"/>
                <w:szCs w:val="22"/>
              </w:rPr>
              <w:br w:type="textWrapping"/>
            </w:r>
            <w:r>
              <w:rPr>
                <w:color w:val="auto"/>
                <w:kern w:val="0"/>
                <w:sz w:val="22"/>
                <w:szCs w:val="22"/>
              </w:rPr>
              <w:t>③预算额度测算依据是否充分，是否按照标准编制；</w:t>
            </w:r>
            <w:r>
              <w:rPr>
                <w:color w:val="auto"/>
                <w:kern w:val="0"/>
                <w:sz w:val="22"/>
                <w:szCs w:val="22"/>
              </w:rPr>
              <w:br w:type="textWrapping"/>
            </w:r>
            <w:r>
              <w:rPr>
                <w:color w:val="auto"/>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资金分配</w:t>
            </w:r>
          </w:p>
          <w:p>
            <w:pPr>
              <w:widowControl/>
              <w:spacing w:line="0" w:lineRule="atLeast"/>
              <w:jc w:val="center"/>
              <w:rPr>
                <w:color w:val="auto"/>
                <w:kern w:val="0"/>
                <w:sz w:val="22"/>
                <w:szCs w:val="22"/>
              </w:rPr>
            </w:pPr>
            <w:r>
              <w:rPr>
                <w:color w:val="auto"/>
                <w:kern w:val="0"/>
                <w:sz w:val="22"/>
                <w:szCs w:val="22"/>
              </w:rPr>
              <w:t>合理性</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①预算资金分配依据是否充分；</w:t>
            </w:r>
            <w:r>
              <w:rPr>
                <w:color w:val="auto"/>
                <w:kern w:val="0"/>
                <w:sz w:val="22"/>
                <w:szCs w:val="22"/>
              </w:rPr>
              <w:br w:type="textWrapping"/>
            </w:r>
            <w:r>
              <w:rPr>
                <w:color w:val="auto"/>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3</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415" w:hRule="atLeast"/>
          <w:jc w:val="center"/>
        </w:trPr>
        <w:tc>
          <w:tcPr>
            <w:tcW w:w="839" w:type="dxa"/>
            <w:vMerge w:val="restart"/>
            <w:shd w:val="clear" w:color="auto" w:fill="FFFFFF"/>
            <w:vAlign w:val="center"/>
          </w:tcPr>
          <w:p>
            <w:pPr>
              <w:spacing w:line="0" w:lineRule="atLeast"/>
              <w:jc w:val="center"/>
              <w:rPr>
                <w:color w:val="auto"/>
                <w:kern w:val="0"/>
                <w:sz w:val="22"/>
                <w:szCs w:val="22"/>
              </w:rPr>
            </w:pPr>
            <w:r>
              <w:rPr>
                <w:color w:val="auto"/>
                <w:kern w:val="0"/>
                <w:sz w:val="22"/>
                <w:szCs w:val="22"/>
              </w:rPr>
              <w:t>过程</w:t>
            </w: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资金到位率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实际到位资金与预算资金的比率，用以反映和考核资金落实情况对项目实施的总体保障程度。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资金到位率=（实际到位资金/预算资金）×100%。</w:t>
            </w:r>
          </w:p>
          <w:p>
            <w:pPr>
              <w:widowControl/>
              <w:spacing w:line="0" w:lineRule="atLeast"/>
              <w:rPr>
                <w:color w:val="auto"/>
                <w:kern w:val="0"/>
                <w:sz w:val="22"/>
                <w:szCs w:val="22"/>
              </w:rPr>
            </w:pPr>
            <w:r>
              <w:rPr>
                <w:color w:val="auto"/>
                <w:kern w:val="0"/>
                <w:sz w:val="22"/>
                <w:szCs w:val="22"/>
              </w:rPr>
              <w:t>实际到位资金：一定时期（本年度或项目期）内落实到具体项目的资金。</w:t>
            </w:r>
          </w:p>
          <w:p>
            <w:pPr>
              <w:widowControl/>
              <w:spacing w:line="0" w:lineRule="atLeast"/>
              <w:rPr>
                <w:color w:val="auto"/>
                <w:kern w:val="0"/>
                <w:sz w:val="22"/>
                <w:szCs w:val="22"/>
              </w:rPr>
            </w:pPr>
            <w:r>
              <w:rPr>
                <w:color w:val="auto"/>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continue"/>
            <w:shd w:val="clear" w:color="auto" w:fill="FFFFFF"/>
            <w:vAlign w:val="center"/>
          </w:tcPr>
          <w:p>
            <w:pPr>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预算执行率</w:t>
            </w:r>
          </w:p>
        </w:tc>
        <w:tc>
          <w:tcPr>
            <w:tcW w:w="2353" w:type="dxa"/>
            <w:shd w:val="clear" w:color="auto" w:fill="FFFFFF"/>
            <w:vAlign w:val="center"/>
          </w:tcPr>
          <w:p>
            <w:pPr>
              <w:widowControl/>
              <w:spacing w:line="0" w:lineRule="atLeast"/>
              <w:rPr>
                <w:color w:val="auto"/>
                <w:kern w:val="0"/>
                <w:sz w:val="22"/>
                <w:szCs w:val="22"/>
              </w:rPr>
            </w:pPr>
            <w:r>
              <w:rPr>
                <w:color w:val="auto"/>
                <w:kern w:val="0"/>
                <w:sz w:val="22"/>
                <w:szCs w:val="22"/>
              </w:rPr>
              <w:t>项目预算资金是否按照计划执行，用以反映或考核项目预算执行情况。</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预算执行率=（实际支出资金/实际到位资金）×100%。</w:t>
            </w:r>
            <w:r>
              <w:rPr>
                <w:color w:val="auto"/>
                <w:kern w:val="0"/>
                <w:sz w:val="22"/>
                <w:szCs w:val="22"/>
              </w:rPr>
              <w:br w:type="textWrapping"/>
            </w:r>
            <w:r>
              <w:rPr>
                <w:color w:val="auto"/>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auto" w:fill="FFFFFF"/>
            <w:vAlign w:val="center"/>
          </w:tcPr>
          <w:p>
            <w:pPr>
              <w:widowControl/>
              <w:spacing w:line="0" w:lineRule="atLeast"/>
              <w:jc w:val="center"/>
              <w:rPr>
                <w:rFonts w:hint="eastAsia"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076"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　</w:t>
            </w:r>
          </w:p>
          <w:p>
            <w:pPr>
              <w:spacing w:line="0" w:lineRule="atLeast"/>
              <w:jc w:val="center"/>
              <w:rPr>
                <w:color w:val="auto"/>
                <w:kern w:val="0"/>
                <w:sz w:val="22"/>
                <w:szCs w:val="22"/>
              </w:rPr>
            </w:pPr>
            <w:r>
              <w:rPr>
                <w:color w:val="auto"/>
                <w:kern w:val="0"/>
                <w:sz w:val="22"/>
                <w:szCs w:val="22"/>
              </w:rPr>
              <w:t>过程　</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资金管理</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资金使用</w:t>
            </w:r>
          </w:p>
          <w:p>
            <w:pPr>
              <w:widowControl/>
              <w:spacing w:line="0" w:lineRule="atLeast"/>
              <w:jc w:val="center"/>
              <w:rPr>
                <w:color w:val="auto"/>
                <w:kern w:val="0"/>
                <w:sz w:val="22"/>
                <w:szCs w:val="22"/>
              </w:rPr>
            </w:pPr>
            <w:r>
              <w:rPr>
                <w:color w:val="auto"/>
                <w:kern w:val="0"/>
                <w:sz w:val="22"/>
                <w:szCs w:val="22"/>
              </w:rPr>
              <w:t>合规性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项目资金使用是否符合相关的财务管理制度规定，用以反映和考核项目资金的规范运行情况。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①是否符合国家财经法规和财务管理制度以及有关专项资金管理办法的规定；</w:t>
            </w:r>
            <w:r>
              <w:rPr>
                <w:color w:val="auto"/>
                <w:kern w:val="0"/>
                <w:sz w:val="22"/>
                <w:szCs w:val="22"/>
              </w:rPr>
              <w:br w:type="textWrapping"/>
            </w:r>
            <w:r>
              <w:rPr>
                <w:color w:val="auto"/>
                <w:kern w:val="0"/>
                <w:sz w:val="22"/>
                <w:szCs w:val="22"/>
              </w:rPr>
              <w:t>②资金的拨付是否有完整的审批程序和手续；</w:t>
            </w:r>
            <w:r>
              <w:rPr>
                <w:color w:val="auto"/>
                <w:kern w:val="0"/>
                <w:sz w:val="22"/>
                <w:szCs w:val="22"/>
              </w:rPr>
              <w:br w:type="textWrapping"/>
            </w:r>
            <w:r>
              <w:rPr>
                <w:color w:val="auto"/>
                <w:kern w:val="0"/>
                <w:sz w:val="22"/>
                <w:szCs w:val="22"/>
              </w:rPr>
              <w:t>③是否符合项目预算批复或合同规定的用途；</w:t>
            </w:r>
            <w:r>
              <w:rPr>
                <w:color w:val="auto"/>
                <w:kern w:val="0"/>
                <w:sz w:val="22"/>
                <w:szCs w:val="22"/>
              </w:rPr>
              <w:br w:type="textWrapping"/>
            </w:r>
            <w:r>
              <w:rPr>
                <w:color w:val="auto"/>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组织实施</w:t>
            </w:r>
          </w:p>
          <w:p>
            <w:pPr>
              <w:spacing w:line="0" w:lineRule="atLeast"/>
              <w:jc w:val="center"/>
              <w:rPr>
                <w:color w:val="auto"/>
                <w:kern w:val="0"/>
                <w:sz w:val="22"/>
                <w:szCs w:val="22"/>
              </w:rPr>
            </w:pPr>
            <w:r>
              <w:rPr>
                <w:color w:val="auto"/>
                <w:kern w:val="0"/>
                <w:sz w:val="22"/>
                <w:szCs w:val="22"/>
              </w:rPr>
              <w:t>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管理制度</w:t>
            </w:r>
          </w:p>
          <w:p>
            <w:pPr>
              <w:widowControl/>
              <w:spacing w:line="0" w:lineRule="atLeast"/>
              <w:jc w:val="center"/>
              <w:rPr>
                <w:color w:val="auto"/>
                <w:kern w:val="0"/>
                <w:sz w:val="22"/>
                <w:szCs w:val="22"/>
              </w:rPr>
            </w:pPr>
            <w:r>
              <w:rPr>
                <w:color w:val="auto"/>
                <w:kern w:val="0"/>
                <w:sz w:val="22"/>
                <w:szCs w:val="22"/>
              </w:rPr>
              <w:t>健全性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项目实施单位的财务和业务管理制度是否健全，用以反映和考核财务和业务管理制度对项目顺利实施的保障情况。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①是否已制定或具有相应的财务和业务管理制度；</w:t>
            </w:r>
            <w:r>
              <w:rPr>
                <w:color w:val="auto"/>
                <w:kern w:val="0"/>
                <w:sz w:val="22"/>
                <w:szCs w:val="22"/>
              </w:rPr>
              <w:br w:type="textWrapping"/>
            </w:r>
            <w:r>
              <w:rPr>
                <w:color w:val="auto"/>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69"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制度执行</w:t>
            </w:r>
          </w:p>
          <w:p>
            <w:pPr>
              <w:widowControl/>
              <w:spacing w:line="0" w:lineRule="atLeast"/>
              <w:jc w:val="center"/>
              <w:rPr>
                <w:color w:val="auto"/>
                <w:kern w:val="0"/>
                <w:sz w:val="22"/>
                <w:szCs w:val="22"/>
              </w:rPr>
            </w:pPr>
            <w:r>
              <w:rPr>
                <w:color w:val="auto"/>
                <w:kern w:val="0"/>
                <w:sz w:val="22"/>
                <w:szCs w:val="22"/>
              </w:rPr>
              <w:t>有效性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项目实施是否符合相关管理规定，用以反映和考核相关管理制度的有效执行情况。</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评价要点：</w:t>
            </w:r>
            <w:r>
              <w:rPr>
                <w:color w:val="auto"/>
                <w:kern w:val="0"/>
                <w:sz w:val="22"/>
                <w:szCs w:val="22"/>
              </w:rPr>
              <w:br w:type="textWrapping"/>
            </w:r>
            <w:r>
              <w:rPr>
                <w:color w:val="auto"/>
                <w:kern w:val="0"/>
                <w:sz w:val="22"/>
                <w:szCs w:val="22"/>
              </w:rPr>
              <w:t>①是否遵守相关法律法规和相关管理规定；</w:t>
            </w:r>
            <w:r>
              <w:rPr>
                <w:color w:val="auto"/>
                <w:kern w:val="0"/>
                <w:sz w:val="22"/>
                <w:szCs w:val="22"/>
              </w:rPr>
              <w:br w:type="textWrapping"/>
            </w:r>
            <w:r>
              <w:rPr>
                <w:color w:val="auto"/>
                <w:kern w:val="0"/>
                <w:sz w:val="22"/>
                <w:szCs w:val="22"/>
              </w:rPr>
              <w:t>②项目调整及支出调整手续是否完备；</w:t>
            </w:r>
            <w:r>
              <w:rPr>
                <w:color w:val="auto"/>
                <w:kern w:val="0"/>
                <w:sz w:val="22"/>
                <w:szCs w:val="22"/>
              </w:rPr>
              <w:br w:type="textWrapping"/>
            </w:r>
            <w:r>
              <w:rPr>
                <w:color w:val="auto"/>
                <w:kern w:val="0"/>
                <w:sz w:val="22"/>
                <w:szCs w:val="22"/>
              </w:rPr>
              <w:t>③项目合同书、验收报告、技术鉴定等资料是否齐全并及时归档；</w:t>
            </w:r>
            <w:r>
              <w:rPr>
                <w:color w:val="auto"/>
                <w:kern w:val="0"/>
                <w:sz w:val="22"/>
                <w:szCs w:val="22"/>
              </w:rPr>
              <w:br w:type="textWrapping"/>
            </w:r>
            <w:r>
              <w:rPr>
                <w:color w:val="auto"/>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4</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产出数量</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实际完成率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项目实施的实际产出数与计划产出数的比率，用以反映和考核项目产出数量目标的实现程度。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实际完成率=（实际产出数/计划产出数）×100%。</w:t>
            </w:r>
            <w:r>
              <w:rPr>
                <w:color w:val="auto"/>
                <w:kern w:val="0"/>
                <w:sz w:val="22"/>
                <w:szCs w:val="22"/>
              </w:rPr>
              <w:br w:type="textWrapping"/>
            </w:r>
            <w:r>
              <w:rPr>
                <w:color w:val="auto"/>
                <w:kern w:val="0"/>
                <w:sz w:val="22"/>
                <w:szCs w:val="22"/>
              </w:rPr>
              <w:t>实际产出数：一定时期（本年度或项目期）内项目实际产出的产品或提供的服务数量。</w:t>
            </w:r>
            <w:r>
              <w:rPr>
                <w:color w:val="auto"/>
                <w:kern w:val="0"/>
                <w:sz w:val="22"/>
                <w:szCs w:val="22"/>
              </w:rPr>
              <w:br w:type="textWrapping"/>
            </w:r>
            <w:r>
              <w:rPr>
                <w:color w:val="auto"/>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w:t>
            </w:r>
            <w:r>
              <w:rPr>
                <w:rFonts w:hint="eastAsia"/>
                <w:b/>
                <w:bCs/>
                <w:color w:val="auto"/>
                <w:kern w:val="0"/>
                <w:sz w:val="22"/>
                <w:szCs w:val="22"/>
              </w:rPr>
              <w:t>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w:t>
            </w:r>
            <w:r>
              <w:rPr>
                <w:rFonts w:hint="eastAsia"/>
                <w:b/>
                <w:bCs/>
                <w:color w:val="auto"/>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18"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产出</w:t>
            </w: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产出质量</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质量达标率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项目完成的质量达标产出数与实际产出数的比率，用以反映和考核项目产出质量目标的实现程度。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质量达标率=（质量达标产出数/实际产出数）×100%。</w:t>
            </w:r>
          </w:p>
          <w:p>
            <w:pPr>
              <w:widowControl/>
              <w:spacing w:line="0" w:lineRule="atLeast"/>
              <w:rPr>
                <w:color w:val="auto"/>
                <w:kern w:val="0"/>
                <w:sz w:val="22"/>
                <w:szCs w:val="22"/>
              </w:rPr>
            </w:pPr>
            <w:r>
              <w:rPr>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vAlign w:val="center"/>
          </w:tcPr>
          <w:p>
            <w:pPr>
              <w:spacing w:line="0" w:lineRule="atLeast"/>
              <w:jc w:val="center"/>
              <w:rPr>
                <w:color w:val="auto"/>
                <w:kern w:val="0"/>
                <w:sz w:val="22"/>
                <w:szCs w:val="22"/>
              </w:rPr>
            </w:pPr>
          </w:p>
        </w:tc>
        <w:tc>
          <w:tcPr>
            <w:tcW w:w="767" w:type="dxa"/>
            <w:shd w:val="clear" w:color="auto" w:fill="FFFFFF"/>
            <w:vAlign w:val="center"/>
          </w:tcPr>
          <w:p>
            <w:pPr>
              <w:spacing w:line="0" w:lineRule="atLeast"/>
              <w:jc w:val="center"/>
              <w:rPr>
                <w:color w:val="auto"/>
                <w:kern w:val="0"/>
                <w:sz w:val="22"/>
                <w:szCs w:val="22"/>
              </w:rPr>
            </w:pPr>
            <w:r>
              <w:rPr>
                <w:color w:val="auto"/>
                <w:kern w:val="0"/>
                <w:sz w:val="22"/>
                <w:szCs w:val="22"/>
              </w:rPr>
              <w:t>产出时效</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完成及时性</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项目实际完成时间与计划完成时间的比较，用以反映和考核项目产出时效目标的实现程度。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实际完成时间：项目实施单位完成该项目实际所耗用的时间。</w:t>
            </w:r>
            <w:r>
              <w:rPr>
                <w:color w:val="auto"/>
                <w:kern w:val="0"/>
                <w:sz w:val="22"/>
                <w:szCs w:val="22"/>
              </w:rPr>
              <w:br w:type="textWrapping"/>
            </w:r>
            <w:r>
              <w:rPr>
                <w:color w:val="auto"/>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w:t>
            </w:r>
            <w:r>
              <w:rPr>
                <w:rFonts w:hint="eastAsia"/>
                <w:b/>
                <w:bCs/>
                <w:color w:val="auto"/>
                <w:kern w:val="0"/>
                <w:sz w:val="22"/>
                <w:szCs w:val="22"/>
              </w:rPr>
              <w:t>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w:t>
            </w:r>
            <w:r>
              <w:rPr>
                <w:rFonts w:hint="eastAsia"/>
                <w:b/>
                <w:bCs/>
                <w:color w:val="auto"/>
                <w:kern w:val="0"/>
                <w:sz w:val="22"/>
                <w:szCs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076"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shd w:val="clear" w:color="auto" w:fill="FFFFFF"/>
            <w:vAlign w:val="center"/>
          </w:tcPr>
          <w:p>
            <w:pPr>
              <w:widowControl/>
              <w:spacing w:line="0" w:lineRule="atLeast"/>
              <w:jc w:val="center"/>
              <w:rPr>
                <w:color w:val="auto"/>
                <w:kern w:val="0"/>
                <w:sz w:val="22"/>
                <w:szCs w:val="22"/>
              </w:rPr>
            </w:pPr>
            <w:r>
              <w:rPr>
                <w:color w:val="auto"/>
                <w:kern w:val="0"/>
                <w:sz w:val="22"/>
                <w:szCs w:val="22"/>
              </w:rPr>
              <w:t>产出成本</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成本节约率</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完成项目计划工作目标的实际节约成本与计划成本的比率，用以反映和考核项目的成本节约程度。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br w:type="textWrapping"/>
            </w:r>
            <w:r>
              <w:rPr>
                <w:color w:val="auto"/>
                <w:kern w:val="0"/>
                <w:sz w:val="22"/>
                <w:szCs w:val="22"/>
              </w:rPr>
              <w:t>成本节约率=[（计划成本-实际成本）/计划成本]×100%。</w:t>
            </w:r>
            <w:r>
              <w:rPr>
                <w:color w:val="auto"/>
                <w:kern w:val="0"/>
                <w:sz w:val="22"/>
                <w:szCs w:val="22"/>
              </w:rPr>
              <w:br w:type="textWrapping"/>
            </w:r>
            <w:r>
              <w:rPr>
                <w:color w:val="auto"/>
                <w:kern w:val="0"/>
                <w:sz w:val="22"/>
                <w:szCs w:val="22"/>
              </w:rPr>
              <w:t>实际成本：项目实施单位如期、保质、保量完成既定工作目标实际所耗费的支出。</w:t>
            </w:r>
            <w:r>
              <w:rPr>
                <w:color w:val="auto"/>
                <w:kern w:val="0"/>
                <w:sz w:val="22"/>
                <w:szCs w:val="22"/>
              </w:rPr>
              <w:br w:type="textWrapping"/>
            </w:r>
            <w:r>
              <w:rPr>
                <w:color w:val="auto"/>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auto"/>
                <w:kern w:val="0"/>
                <w:sz w:val="22"/>
                <w:szCs w:val="22"/>
              </w:rPr>
            </w:pPr>
            <w:r>
              <w:rPr>
                <w:b/>
                <w:bCs/>
                <w:color w:val="auto"/>
                <w:kern w:val="0"/>
                <w:sz w:val="22"/>
                <w:szCs w:val="22"/>
              </w:rPr>
              <w:t>10</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b/>
                <w:bCs/>
                <w:color w:val="auto"/>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效益　</w:t>
            </w:r>
          </w:p>
        </w:tc>
        <w:tc>
          <w:tcPr>
            <w:tcW w:w="767" w:type="dxa"/>
            <w:vMerge w:val="restart"/>
            <w:shd w:val="clear" w:color="auto" w:fill="FFFFFF"/>
            <w:vAlign w:val="center"/>
          </w:tcPr>
          <w:p>
            <w:pPr>
              <w:widowControl/>
              <w:spacing w:line="0" w:lineRule="atLeast"/>
              <w:jc w:val="center"/>
              <w:rPr>
                <w:color w:val="auto"/>
                <w:kern w:val="0"/>
                <w:sz w:val="22"/>
                <w:szCs w:val="22"/>
              </w:rPr>
            </w:pPr>
            <w:r>
              <w:rPr>
                <w:color w:val="auto"/>
                <w:kern w:val="0"/>
                <w:sz w:val="22"/>
                <w:szCs w:val="22"/>
              </w:rPr>
              <w:t>项目效益　</w:t>
            </w: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实施效益</w:t>
            </w:r>
          </w:p>
        </w:tc>
        <w:tc>
          <w:tcPr>
            <w:tcW w:w="2353" w:type="dxa"/>
            <w:shd w:val="clear" w:color="auto" w:fill="FFFFFF"/>
            <w:vAlign w:val="center"/>
          </w:tcPr>
          <w:p>
            <w:pPr>
              <w:widowControl/>
              <w:spacing w:line="0" w:lineRule="atLeast"/>
              <w:jc w:val="left"/>
              <w:rPr>
                <w:color w:val="auto"/>
                <w:kern w:val="0"/>
                <w:sz w:val="22"/>
                <w:szCs w:val="22"/>
              </w:rPr>
            </w:pPr>
            <w:r>
              <w:rPr>
                <w:color w:val="auto"/>
                <w:kern w:val="0"/>
                <w:sz w:val="22"/>
                <w:szCs w:val="22"/>
              </w:rPr>
              <w:t>项目实施所产生的效益。</w:t>
            </w:r>
          </w:p>
        </w:tc>
        <w:tc>
          <w:tcPr>
            <w:tcW w:w="5188" w:type="dxa"/>
            <w:shd w:val="clear" w:color="auto" w:fill="FFFFFF"/>
            <w:vAlign w:val="center"/>
          </w:tcPr>
          <w:p>
            <w:pPr>
              <w:widowControl/>
              <w:spacing w:line="0" w:lineRule="atLeast"/>
              <w:rPr>
                <w:color w:val="auto"/>
                <w:kern w:val="0"/>
                <w:sz w:val="22"/>
                <w:szCs w:val="22"/>
              </w:rPr>
            </w:pPr>
            <w:r>
              <w:rPr>
                <w:color w:val="auto"/>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15</w:t>
            </w:r>
          </w:p>
        </w:tc>
        <w:tc>
          <w:tcPr>
            <w:tcW w:w="1363" w:type="dxa"/>
            <w:shd w:val="clear" w:color="auto"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137" w:hRule="atLeast"/>
          <w:jc w:val="center"/>
        </w:trPr>
        <w:tc>
          <w:tcPr>
            <w:tcW w:w="839" w:type="dxa"/>
            <w:vMerge w:val="continue"/>
            <w:shd w:val="clear" w:color="auto" w:fill="FFFFFF"/>
            <w:vAlign w:val="center"/>
          </w:tcPr>
          <w:p>
            <w:pPr>
              <w:widowControl/>
              <w:spacing w:line="0" w:lineRule="atLeast"/>
              <w:jc w:val="center"/>
              <w:rPr>
                <w:color w:val="auto"/>
                <w:kern w:val="0"/>
                <w:sz w:val="22"/>
                <w:szCs w:val="22"/>
              </w:rPr>
            </w:pPr>
          </w:p>
        </w:tc>
        <w:tc>
          <w:tcPr>
            <w:tcW w:w="767" w:type="dxa"/>
            <w:vMerge w:val="continue"/>
            <w:shd w:val="clear" w:color="auto" w:fill="FFFFFF"/>
            <w:vAlign w:val="center"/>
          </w:tcPr>
          <w:p>
            <w:pPr>
              <w:widowControl/>
              <w:spacing w:line="0" w:lineRule="atLeast"/>
              <w:jc w:val="center"/>
              <w:rPr>
                <w:color w:val="auto"/>
                <w:kern w:val="0"/>
                <w:sz w:val="22"/>
                <w:szCs w:val="22"/>
              </w:rPr>
            </w:pPr>
          </w:p>
        </w:tc>
        <w:tc>
          <w:tcPr>
            <w:tcW w:w="873" w:type="dxa"/>
            <w:shd w:val="clear" w:color="auto" w:fill="FFFFFF"/>
            <w:vAlign w:val="center"/>
          </w:tcPr>
          <w:p>
            <w:pPr>
              <w:widowControl/>
              <w:spacing w:line="0" w:lineRule="atLeast"/>
              <w:jc w:val="center"/>
              <w:rPr>
                <w:color w:val="auto"/>
                <w:kern w:val="0"/>
                <w:sz w:val="22"/>
                <w:szCs w:val="22"/>
              </w:rPr>
            </w:pPr>
            <w:r>
              <w:rPr>
                <w:color w:val="auto"/>
                <w:kern w:val="0"/>
                <w:sz w:val="22"/>
                <w:szCs w:val="22"/>
              </w:rPr>
              <w:t>满意度</w:t>
            </w:r>
          </w:p>
        </w:tc>
        <w:tc>
          <w:tcPr>
            <w:tcW w:w="2353" w:type="dxa"/>
            <w:shd w:val="clear" w:color="000000" w:fill="FFFFFF"/>
            <w:vAlign w:val="center"/>
          </w:tcPr>
          <w:p>
            <w:pPr>
              <w:widowControl/>
              <w:spacing w:line="0" w:lineRule="atLeast"/>
              <w:rPr>
                <w:color w:val="auto"/>
                <w:kern w:val="0"/>
                <w:sz w:val="22"/>
                <w:szCs w:val="22"/>
              </w:rPr>
            </w:pPr>
            <w:r>
              <w:rPr>
                <w:color w:val="auto"/>
                <w:kern w:val="0"/>
                <w:sz w:val="22"/>
                <w:szCs w:val="22"/>
              </w:rPr>
              <w:t>社会公众或服务对象对项目实施效果的满意程度。</w:t>
            </w:r>
          </w:p>
        </w:tc>
        <w:tc>
          <w:tcPr>
            <w:tcW w:w="5188" w:type="dxa"/>
            <w:shd w:val="clear" w:color="000000" w:fill="FFFFFF"/>
            <w:vAlign w:val="center"/>
          </w:tcPr>
          <w:p>
            <w:pPr>
              <w:widowControl/>
              <w:spacing w:line="0" w:lineRule="atLeast"/>
              <w:rPr>
                <w:color w:val="auto"/>
                <w:kern w:val="0"/>
                <w:sz w:val="22"/>
                <w:szCs w:val="22"/>
              </w:rPr>
            </w:pPr>
            <w:r>
              <w:rPr>
                <w:color w:val="auto"/>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auto"/>
                <w:kern w:val="0"/>
                <w:sz w:val="22"/>
                <w:szCs w:val="22"/>
              </w:rPr>
            </w:pPr>
            <w:r>
              <w:rPr>
                <w:rFonts w:hint="eastAsia"/>
                <w:b/>
                <w:bCs/>
                <w:color w:val="auto"/>
                <w:kern w:val="0"/>
                <w:sz w:val="22"/>
                <w:szCs w:val="22"/>
              </w:rPr>
              <w:t>5</w:t>
            </w:r>
          </w:p>
        </w:tc>
        <w:tc>
          <w:tcPr>
            <w:tcW w:w="1363" w:type="dxa"/>
            <w:shd w:val="clear" w:color="000000" w:fill="FFFFFF"/>
            <w:vAlign w:val="center"/>
          </w:tcPr>
          <w:p>
            <w:pPr>
              <w:widowControl/>
              <w:spacing w:line="0" w:lineRule="atLeast"/>
              <w:jc w:val="center"/>
              <w:rPr>
                <w:rFonts w:ascii="Times New Roman" w:hAnsi="Times New Roman" w:eastAsia="宋体" w:cs="Times New Roman"/>
                <w:b/>
                <w:bCs/>
                <w:color w:val="auto"/>
                <w:kern w:val="0"/>
                <w:sz w:val="22"/>
                <w:szCs w:val="22"/>
                <w:lang w:val="en-US" w:eastAsia="zh-CN" w:bidi="ar-SA"/>
              </w:rPr>
            </w:pPr>
            <w:r>
              <w:rPr>
                <w:rFonts w:hint="eastAsia"/>
                <w:b/>
                <w:bCs/>
                <w:color w:val="auto"/>
                <w:kern w:val="0"/>
                <w:sz w:val="22"/>
                <w:szCs w:val="22"/>
              </w:rPr>
              <w:t>5</w:t>
            </w:r>
          </w:p>
        </w:tc>
      </w:tr>
    </w:tbl>
    <w:p>
      <w:pPr>
        <w:pStyle w:val="20"/>
        <w:rPr>
          <w:rFonts w:ascii="Times New Roman" w:hAnsi="Times New Roman"/>
          <w:color w:val="auto"/>
        </w:rPr>
      </w:pPr>
    </w:p>
    <w:p>
      <w:pPr>
        <w:rPr>
          <w:color w:val="auto"/>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ind w:firstLine="640"/>
        <w:rPr>
          <w:rStyle w:val="25"/>
          <w:rFonts w:eastAsia="黑体"/>
          <w:bCs w:val="0"/>
          <w:color w:val="auto"/>
          <w:spacing w:val="-4"/>
          <w:sz w:val="32"/>
          <w:szCs w:val="32"/>
        </w:rPr>
      </w:pPr>
    </w:p>
    <w:p>
      <w:pPr>
        <w:spacing w:line="540" w:lineRule="exact"/>
        <w:rPr>
          <w:rStyle w:val="25"/>
          <w:rFonts w:eastAsia="仿宋"/>
          <w:b w:val="0"/>
          <w:color w:val="auto"/>
          <w:spacing w:val="-4"/>
          <w:sz w:val="32"/>
          <w:szCs w:val="32"/>
        </w:rPr>
      </w:pPr>
    </w:p>
    <w:bookmarkEnd w:id="2"/>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modern"/>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17</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1DF6E27D"/>
    <w:multiLevelType w:val="singleLevel"/>
    <w:tmpl w:val="1DF6E27D"/>
    <w:lvl w:ilvl="0" w:tentative="0">
      <w:start w:val="1"/>
      <w:numFmt w:val="decimal"/>
      <w:pStyle w:val="15"/>
      <w:lvlText w:val="%1."/>
      <w:lvlJc w:val="left"/>
      <w:pPr>
        <w:tabs>
          <w:tab w:val="left" w:pos="2040"/>
        </w:tabs>
        <w:ind w:left="2040" w:hanging="360"/>
      </w:p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38F0C646"/>
    <w:multiLevelType w:val="singleLevel"/>
    <w:tmpl w:val="38F0C646"/>
    <w:lvl w:ilvl="0" w:tentative="0">
      <w:start w:val="1"/>
      <w:numFmt w:val="decimal"/>
      <w:suff w:val="nothing"/>
      <w:lvlText w:val="%1、"/>
      <w:lvlJc w:val="left"/>
    </w:lvl>
  </w:abstractNum>
  <w:num w:numId="1">
    <w:abstractNumId w:val="5"/>
  </w:num>
  <w:num w:numId="2">
    <w:abstractNumId w:val="2"/>
  </w:num>
  <w:num w:numId="3">
    <w:abstractNumId w:val="1"/>
  </w:num>
  <w:num w:numId="4">
    <w:abstractNumId w:val="6"/>
  </w:num>
  <w:num w:numId="5">
    <w:abstractNumId w:val="7"/>
  </w:num>
  <w:num w:numId="6">
    <w:abstractNumId w:val="4"/>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3ZTMzZmM1MGE1NTFjNDJmMjQ4NjBjNzhlOGRlYzkifQ=="/>
    <w:docVar w:name="KSO_WPS_MARK_KEY" w:val="cdad7e19-c94e-41cb-8b43-5c440c49b221"/>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2C700A"/>
    <w:rsid w:val="051A56F5"/>
    <w:rsid w:val="066D6EAA"/>
    <w:rsid w:val="06DC1681"/>
    <w:rsid w:val="08C662D4"/>
    <w:rsid w:val="09BD4D95"/>
    <w:rsid w:val="09D5381B"/>
    <w:rsid w:val="0B0F58D6"/>
    <w:rsid w:val="0D261F41"/>
    <w:rsid w:val="0F8D41CB"/>
    <w:rsid w:val="0FEE2F21"/>
    <w:rsid w:val="11C75270"/>
    <w:rsid w:val="12637CC3"/>
    <w:rsid w:val="12E657C5"/>
    <w:rsid w:val="133C6E2A"/>
    <w:rsid w:val="13787F23"/>
    <w:rsid w:val="167C7687"/>
    <w:rsid w:val="168B3546"/>
    <w:rsid w:val="1A2374E0"/>
    <w:rsid w:val="1C317CE2"/>
    <w:rsid w:val="1DD45808"/>
    <w:rsid w:val="1DED42AC"/>
    <w:rsid w:val="1E3246C3"/>
    <w:rsid w:val="20005763"/>
    <w:rsid w:val="20FB313D"/>
    <w:rsid w:val="220541AE"/>
    <w:rsid w:val="220B4804"/>
    <w:rsid w:val="24741F5E"/>
    <w:rsid w:val="24D26ABE"/>
    <w:rsid w:val="278B653F"/>
    <w:rsid w:val="282475E3"/>
    <w:rsid w:val="29E421D9"/>
    <w:rsid w:val="2C6100C1"/>
    <w:rsid w:val="2C6D4067"/>
    <w:rsid w:val="2D9B15F6"/>
    <w:rsid w:val="2E145FBA"/>
    <w:rsid w:val="3235157C"/>
    <w:rsid w:val="3264220D"/>
    <w:rsid w:val="32A83563"/>
    <w:rsid w:val="33087BC2"/>
    <w:rsid w:val="34135F4B"/>
    <w:rsid w:val="38872456"/>
    <w:rsid w:val="3963178C"/>
    <w:rsid w:val="3B985089"/>
    <w:rsid w:val="3BA5236D"/>
    <w:rsid w:val="3CED0699"/>
    <w:rsid w:val="3EB02FD6"/>
    <w:rsid w:val="41CC2676"/>
    <w:rsid w:val="41E74347"/>
    <w:rsid w:val="44692BD1"/>
    <w:rsid w:val="46B21672"/>
    <w:rsid w:val="4B5608E7"/>
    <w:rsid w:val="4BB11170"/>
    <w:rsid w:val="4F552460"/>
    <w:rsid w:val="4FCC6863"/>
    <w:rsid w:val="500A214A"/>
    <w:rsid w:val="522D604D"/>
    <w:rsid w:val="5297585E"/>
    <w:rsid w:val="52AD7D6F"/>
    <w:rsid w:val="5549519D"/>
    <w:rsid w:val="5557596B"/>
    <w:rsid w:val="5B402322"/>
    <w:rsid w:val="5B596DFC"/>
    <w:rsid w:val="5DAE6D00"/>
    <w:rsid w:val="5DF03945"/>
    <w:rsid w:val="5F03526B"/>
    <w:rsid w:val="61926CB1"/>
    <w:rsid w:val="624851F5"/>
    <w:rsid w:val="62E515AF"/>
    <w:rsid w:val="637C2815"/>
    <w:rsid w:val="664B0675"/>
    <w:rsid w:val="666B4FDC"/>
    <w:rsid w:val="67FF13C8"/>
    <w:rsid w:val="682144B7"/>
    <w:rsid w:val="6B503F77"/>
    <w:rsid w:val="6E311968"/>
    <w:rsid w:val="71895AEF"/>
    <w:rsid w:val="72BD60AD"/>
    <w:rsid w:val="7A353D0B"/>
    <w:rsid w:val="7CB927D8"/>
    <w:rsid w:val="7D3A5E2F"/>
    <w:rsid w:val="F7FDD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rPr>
      <w:rFonts w:ascii="Calibri" w:hAnsi="Calibri" w:eastAsia="宋体" w:cs="Times New Roman"/>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Plain Text"/>
    <w:basedOn w:val="1"/>
    <w:next w:val="15"/>
    <w:qFormat/>
    <w:uiPriority w:val="0"/>
    <w:pPr>
      <w:spacing w:before="100" w:beforeAutospacing="1" w:after="100" w:afterAutospacing="1"/>
      <w:jc w:val="left"/>
    </w:pPr>
    <w:rPr>
      <w:rFonts w:ascii="宋体" w:hAnsi="宋体"/>
      <w:sz w:val="24"/>
    </w:rPr>
  </w:style>
  <w:style w:type="paragraph" w:styleId="15">
    <w:name w:val="List Number 5"/>
    <w:basedOn w:val="1"/>
    <w:semiHidden/>
    <w:unhideWhenUsed/>
    <w:qFormat/>
    <w:uiPriority w:val="99"/>
    <w:pPr>
      <w:numPr>
        <w:ilvl w:val="0"/>
        <w:numId w:val="1"/>
      </w:numPr>
    </w:pPr>
  </w:style>
  <w:style w:type="paragraph" w:styleId="16">
    <w:name w:val="Balloon Text"/>
    <w:basedOn w:val="1"/>
    <w:link w:val="52"/>
    <w:semiHidden/>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1">
    <w:name w:val="Body Text First Indent"/>
    <w:basedOn w:val="12"/>
    <w:qFormat/>
    <w:uiPriority w:val="0"/>
    <w:pPr>
      <w:spacing w:after="0"/>
      <w:ind w:firstLine="200" w:firstLineChars="200"/>
    </w:pPr>
  </w:style>
  <w:style w:type="paragraph" w:styleId="22">
    <w:name w:val="Body Text First Indent 2"/>
    <w:basedOn w:val="13"/>
    <w:qFormat/>
    <w:uiPriority w:val="0"/>
    <w:pPr>
      <w:ind w:firstLine="420" w:firstLineChars="200"/>
    </w:p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字符"/>
    <w:basedOn w:val="24"/>
    <w:link w:val="3"/>
    <w:qFormat/>
    <w:uiPriority w:val="9"/>
    <w:rPr>
      <w:rFonts w:asciiTheme="majorHAnsi" w:hAnsiTheme="majorHAnsi" w:eastAsiaTheme="majorEastAsia"/>
      <w:b/>
      <w:bCs/>
      <w:kern w:val="32"/>
      <w:sz w:val="32"/>
      <w:szCs w:val="32"/>
    </w:rPr>
  </w:style>
  <w:style w:type="character" w:customStyle="1" w:styleId="28">
    <w:name w:val="标题 2 字符"/>
    <w:basedOn w:val="24"/>
    <w:link w:val="4"/>
    <w:semiHidden/>
    <w:qFormat/>
    <w:uiPriority w:val="9"/>
    <w:rPr>
      <w:rFonts w:asciiTheme="majorHAnsi" w:hAnsiTheme="majorHAnsi" w:eastAsiaTheme="majorEastAsia"/>
      <w:b/>
      <w:bCs/>
      <w:i/>
      <w:iCs/>
      <w:sz w:val="28"/>
      <w:szCs w:val="28"/>
    </w:rPr>
  </w:style>
  <w:style w:type="character" w:customStyle="1" w:styleId="29">
    <w:name w:val="标题 3 字符"/>
    <w:basedOn w:val="24"/>
    <w:link w:val="5"/>
    <w:semiHidden/>
    <w:qFormat/>
    <w:uiPriority w:val="9"/>
    <w:rPr>
      <w:rFonts w:asciiTheme="majorHAnsi" w:hAnsiTheme="majorHAnsi" w:eastAsiaTheme="majorEastAsia"/>
      <w:b/>
      <w:bCs/>
      <w:sz w:val="26"/>
      <w:szCs w:val="26"/>
    </w:rPr>
  </w:style>
  <w:style w:type="character" w:customStyle="1" w:styleId="30">
    <w:name w:val="标题 4 字符"/>
    <w:basedOn w:val="24"/>
    <w:link w:val="6"/>
    <w:semiHidden/>
    <w:qFormat/>
    <w:uiPriority w:val="9"/>
    <w:rPr>
      <w:b/>
      <w:bCs/>
      <w:sz w:val="28"/>
      <w:szCs w:val="28"/>
    </w:rPr>
  </w:style>
  <w:style w:type="character" w:customStyle="1" w:styleId="31">
    <w:name w:val="标题 5 字符"/>
    <w:basedOn w:val="24"/>
    <w:link w:val="7"/>
    <w:semiHidden/>
    <w:qFormat/>
    <w:uiPriority w:val="9"/>
    <w:rPr>
      <w:b/>
      <w:bCs/>
      <w:i/>
      <w:iCs/>
      <w:sz w:val="26"/>
      <w:szCs w:val="26"/>
    </w:rPr>
  </w:style>
  <w:style w:type="character" w:customStyle="1" w:styleId="32">
    <w:name w:val="标题 6 字符"/>
    <w:basedOn w:val="24"/>
    <w:link w:val="8"/>
    <w:semiHidden/>
    <w:qFormat/>
    <w:uiPriority w:val="9"/>
    <w:rPr>
      <w:b/>
      <w:bCs/>
    </w:rPr>
  </w:style>
  <w:style w:type="character" w:customStyle="1" w:styleId="33">
    <w:name w:val="标题 7 字符"/>
    <w:basedOn w:val="24"/>
    <w:link w:val="9"/>
    <w:semiHidden/>
    <w:qFormat/>
    <w:uiPriority w:val="9"/>
    <w:rPr>
      <w:sz w:val="24"/>
      <w:szCs w:val="24"/>
    </w:rPr>
  </w:style>
  <w:style w:type="character" w:customStyle="1" w:styleId="34">
    <w:name w:val="标题 8 字符"/>
    <w:basedOn w:val="24"/>
    <w:link w:val="10"/>
    <w:semiHidden/>
    <w:qFormat/>
    <w:uiPriority w:val="9"/>
    <w:rPr>
      <w:i/>
      <w:iCs/>
      <w:sz w:val="24"/>
      <w:szCs w:val="24"/>
    </w:rPr>
  </w:style>
  <w:style w:type="character" w:customStyle="1" w:styleId="35">
    <w:name w:val="标题 9 字符"/>
    <w:basedOn w:val="24"/>
    <w:link w:val="11"/>
    <w:semiHidden/>
    <w:qFormat/>
    <w:uiPriority w:val="9"/>
    <w:rPr>
      <w:rFonts w:asciiTheme="majorHAnsi" w:hAnsiTheme="majorHAnsi" w:eastAsiaTheme="majorEastAsia"/>
    </w:rPr>
  </w:style>
  <w:style w:type="character" w:customStyle="1" w:styleId="36">
    <w:name w:val="标题 字符"/>
    <w:basedOn w:val="24"/>
    <w:link w:val="20"/>
    <w:qFormat/>
    <w:uiPriority w:val="10"/>
    <w:rPr>
      <w:rFonts w:asciiTheme="majorHAnsi" w:hAnsiTheme="majorHAnsi" w:eastAsiaTheme="majorEastAsia"/>
      <w:b/>
      <w:bCs/>
      <w:kern w:val="28"/>
      <w:sz w:val="32"/>
      <w:szCs w:val="32"/>
    </w:rPr>
  </w:style>
  <w:style w:type="character" w:customStyle="1" w:styleId="37">
    <w:name w:val="副标题 字符"/>
    <w:basedOn w:val="24"/>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4"/>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4"/>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qFormat/>
    <w:uiPriority w:val="32"/>
    <w:rPr>
      <w:b/>
      <w:sz w:val="24"/>
      <w:u w:val="single"/>
    </w:rPr>
  </w:style>
  <w:style w:type="character" w:customStyle="1" w:styleId="48">
    <w:name w:val="书籍标题1"/>
    <w:basedOn w:val="24"/>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4"/>
    <w:link w:val="18"/>
    <w:qFormat/>
    <w:uiPriority w:val="99"/>
    <w:rPr>
      <w:rFonts w:ascii="Calibri" w:hAnsi="Calibri" w:eastAsia="宋体"/>
      <w:kern w:val="2"/>
      <w:sz w:val="18"/>
      <w:szCs w:val="18"/>
    </w:rPr>
  </w:style>
  <w:style w:type="character" w:customStyle="1" w:styleId="51">
    <w:name w:val="页脚 字符"/>
    <w:basedOn w:val="24"/>
    <w:link w:val="17"/>
    <w:qFormat/>
    <w:uiPriority w:val="99"/>
    <w:rPr>
      <w:rFonts w:ascii="Calibri" w:hAnsi="Calibri" w:eastAsia="宋体"/>
      <w:kern w:val="2"/>
      <w:sz w:val="18"/>
      <w:szCs w:val="18"/>
    </w:rPr>
  </w:style>
  <w:style w:type="character" w:customStyle="1" w:styleId="52">
    <w:name w:val="批注框文本 字符"/>
    <w:basedOn w:val="24"/>
    <w:link w:val="16"/>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11058</Words>
  <Characters>11666</Characters>
  <Lines>50</Lines>
  <Paragraphs>14</Paragraphs>
  <TotalTime>1</TotalTime>
  <ScaleCrop>false</ScaleCrop>
  <LinksUpToDate>false</LinksUpToDate>
  <CharactersWithSpaces>11829</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user</cp:lastModifiedBy>
  <cp:lastPrinted>2019-12-31T16:02:00Z</cp:lastPrinted>
  <dcterms:modified xsi:type="dcterms:W3CDTF">2025-08-27T16:54:51Z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013360FACCE1418B80C968824022A9DF</vt:lpwstr>
  </property>
  <property fmtid="{D5CDD505-2E9C-101B-9397-08002B2CF9AE}" pid="4" name="KSOSaveFontToCloudKey">
    <vt:lpwstr>0_btnclosed</vt:lpwstr>
  </property>
  <property fmtid="{D5CDD505-2E9C-101B-9397-08002B2CF9AE}" pid="5" name="KSOTemplateDocerSaveRecord">
    <vt:lpwstr>eyJoZGlkIjoiMmQ3ZTMzZmM1MGE1NTFjNDJmMjQ4NjBjNzhlOGRlYzkifQ==</vt:lpwstr>
  </property>
</Properties>
</file>